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0E6FC3">
      <w:pPr>
        <w:keepNext w:val="0"/>
        <w:keepLines w:val="0"/>
        <w:pageBreakBefore w:val="0"/>
        <w:tabs>
          <w:tab w:val="left" w:pos="3144"/>
        </w:tabs>
        <w:kinsoku/>
        <w:wordWrap/>
        <w:overflowPunct/>
        <w:topLinePunct w:val="0"/>
        <w:autoSpaceDE/>
        <w:autoSpaceDN/>
        <w:bidi w:val="0"/>
        <w:snapToGrid w:val="0"/>
        <w:spacing w:beforeAutospacing="0" w:afterAutospacing="0" w:line="560" w:lineRule="exact"/>
        <w:jc w:val="left"/>
        <w:rPr>
          <w:rFonts w:hint="default" w:ascii="Times New Roman" w:hAnsi="Times New Roman" w:eastAsia="仿宋_GB2312"/>
          <w:sz w:val="30"/>
          <w:lang w:val="en-US" w:eastAsia="zh-CN"/>
        </w:rPr>
      </w:pPr>
      <w:bookmarkStart w:id="61" w:name="_GoBack"/>
      <w:bookmarkEnd w:id="61"/>
    </w:p>
    <w:p w14:paraId="458D7816">
      <w:pPr>
        <w:keepNext w:val="0"/>
        <w:keepLines w:val="0"/>
        <w:pageBreakBefore w:val="0"/>
        <w:tabs>
          <w:tab w:val="left" w:pos="3144"/>
        </w:tabs>
        <w:kinsoku/>
        <w:wordWrap/>
        <w:overflowPunct/>
        <w:topLinePunct w:val="0"/>
        <w:autoSpaceDE/>
        <w:autoSpaceDN/>
        <w:bidi w:val="0"/>
        <w:snapToGrid w:val="0"/>
        <w:spacing w:beforeAutospacing="0" w:afterAutospacing="0" w:line="560" w:lineRule="exact"/>
        <w:jc w:val="left"/>
        <w:rPr>
          <w:rFonts w:ascii="Times New Roman" w:hAnsi="Times New Roman" w:eastAsia="仿宋_GB2312"/>
          <w:sz w:val="30"/>
        </w:rPr>
      </w:pPr>
    </w:p>
    <w:p w14:paraId="2C49D5CE">
      <w:pPr>
        <w:keepNext w:val="0"/>
        <w:keepLines w:val="0"/>
        <w:pageBreakBefore w:val="0"/>
        <w:tabs>
          <w:tab w:val="left" w:pos="3144"/>
        </w:tabs>
        <w:kinsoku/>
        <w:wordWrap/>
        <w:overflowPunct/>
        <w:topLinePunct w:val="0"/>
        <w:autoSpaceDE/>
        <w:autoSpaceDN/>
        <w:bidi w:val="0"/>
        <w:snapToGrid w:val="0"/>
        <w:spacing w:beforeAutospacing="0" w:afterAutospacing="0" w:line="560" w:lineRule="exact"/>
        <w:jc w:val="left"/>
        <w:rPr>
          <w:rFonts w:hint="eastAsia" w:ascii="Times New Roman" w:hAnsi="Times New Roman" w:eastAsia="仿宋_GB2312"/>
          <w:sz w:val="30"/>
          <w:lang w:eastAsia="zh-CN"/>
        </w:rPr>
      </w:pPr>
    </w:p>
    <w:p w14:paraId="66BB33D7">
      <w:pPr>
        <w:keepNext w:val="0"/>
        <w:keepLines w:val="0"/>
        <w:pageBreakBefore w:val="0"/>
        <w:tabs>
          <w:tab w:val="left" w:pos="3144"/>
        </w:tabs>
        <w:kinsoku/>
        <w:wordWrap/>
        <w:overflowPunct/>
        <w:topLinePunct w:val="0"/>
        <w:autoSpaceDE/>
        <w:autoSpaceDN/>
        <w:bidi w:val="0"/>
        <w:snapToGrid w:val="0"/>
        <w:spacing w:beforeAutospacing="0" w:afterAutospacing="0" w:line="560" w:lineRule="exact"/>
        <w:jc w:val="left"/>
        <w:rPr>
          <w:rFonts w:ascii="Times New Roman" w:hAnsi="Times New Roman" w:eastAsia="仿宋_GB2312"/>
          <w:sz w:val="30"/>
        </w:rPr>
      </w:pPr>
      <w:r>
        <w:rPr>
          <w:sz w:val="72"/>
        </w:rPr>
        <mc:AlternateContent>
          <mc:Choice Requires="wps">
            <w:drawing>
              <wp:anchor distT="0" distB="0" distL="114300" distR="114300" simplePos="0" relativeHeight="251662336" behindDoc="0" locked="0" layoutInCell="1" allowOverlap="1">
                <wp:simplePos x="0" y="0"/>
                <wp:positionH relativeFrom="page">
                  <wp:posOffset>793115</wp:posOffset>
                </wp:positionH>
                <wp:positionV relativeFrom="page">
                  <wp:posOffset>2050415</wp:posOffset>
                </wp:positionV>
                <wp:extent cx="6028055" cy="10350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028055" cy="1035050"/>
                        </a:xfrm>
                        <a:prstGeom prst="rect">
                          <a:avLst/>
                        </a:prstGeom>
                        <a:noFill/>
                        <a:ln w="6350">
                          <a:noFill/>
                        </a:ln>
                        <a:effectLst/>
                      </wps:spPr>
                      <wps:txbx>
                        <w:txbxContent>
                          <w:p w14:paraId="2884C508">
                            <w:pPr>
                              <w:jc w:val="center"/>
                              <w:rPr>
                                <w:rFonts w:ascii="方正小标宋简体" w:hAnsi="方正小标宋简体" w:eastAsia="方正小标宋简体" w:cs="方正小标宋简体"/>
                                <w:color w:val="FF2D2D"/>
                                <w:w w:val="40"/>
                                <w:kern w:val="0"/>
                                <w:sz w:val="110"/>
                                <w:szCs w:val="110"/>
                              </w:rPr>
                            </w:pPr>
                            <w:r>
                              <w:rPr>
                                <w:rFonts w:hint="eastAsia" w:ascii="方正小标宋简体" w:hAnsi="方正小标宋简体" w:eastAsia="方正小标宋简体" w:cs="方正小标宋简体"/>
                                <w:color w:val="FF2D2D"/>
                                <w:w w:val="40"/>
                                <w:kern w:val="0"/>
                                <w:sz w:val="110"/>
                                <w:szCs w:val="110"/>
                              </w:rPr>
                              <w:t>四川省食品药品审查评价及安全监测中心文件</w:t>
                            </w:r>
                          </w:p>
                          <w:p w14:paraId="433D9E35">
                            <w:pPr>
                              <w:jc w:val="center"/>
                              <w:rPr>
                                <w:color w:val="FF2D2D"/>
                                <w:w w:val="40"/>
                                <w:sz w:val="110"/>
                                <w:szCs w:val="110"/>
                              </w:rPr>
                            </w:pP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threePt" dir="t"/>
                        </a:scene3d>
                      </wps:bodyPr>
                    </wps:wsp>
                  </a:graphicData>
                </a:graphic>
              </wp:anchor>
            </w:drawing>
          </mc:Choice>
          <mc:Fallback>
            <w:pict>
              <v:shape id="_x0000_s1026" o:spid="_x0000_s1026" o:spt="202" type="#_x0000_t202" style="position:absolute;left:0pt;margin-left:62.45pt;margin-top:161.45pt;height:81.5pt;width:474.65pt;mso-position-horizontal-relative:page;mso-position-vertical-relative:page;z-index:251662336;mso-width-relative:page;mso-height-relative:page;" filled="f" stroked="f" coordsize="21600,21600" o:gfxdata="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56Jr03AAAAAwBAAAPAAAAAAAAAAEAIAAAACIAAABkcnMv&#10;ZG93bnJldi54bWxQSwECFAAUAAAACACHTuJAhBzxM3ECAADTBAAADgAAAAAAAAABACAAAAArAQAA&#10;ZHJzL2Uyb0RvYy54bWxQSwUGAAAAAAYABgBZAQAADgYAAAAA&#10;">
                <v:fill on="f" focussize="0,0"/>
                <v:stroke on="f" weight="0.5pt"/>
                <v:imagedata o:title=""/>
                <o:lock v:ext="edit" aspectratio="f"/>
                <v:textbox>
                  <w:txbxContent>
                    <w:p w14:paraId="2884C508">
                      <w:pPr>
                        <w:jc w:val="center"/>
                        <w:rPr>
                          <w:rFonts w:ascii="方正小标宋简体" w:hAnsi="方正小标宋简体" w:eastAsia="方正小标宋简体" w:cs="方正小标宋简体"/>
                          <w:color w:val="FF2D2D"/>
                          <w:w w:val="40"/>
                          <w:kern w:val="0"/>
                          <w:sz w:val="110"/>
                          <w:szCs w:val="110"/>
                        </w:rPr>
                      </w:pPr>
                      <w:r>
                        <w:rPr>
                          <w:rFonts w:hint="eastAsia" w:ascii="方正小标宋简体" w:hAnsi="方正小标宋简体" w:eastAsia="方正小标宋简体" w:cs="方正小标宋简体"/>
                          <w:color w:val="FF2D2D"/>
                          <w:w w:val="40"/>
                          <w:kern w:val="0"/>
                          <w:sz w:val="110"/>
                          <w:szCs w:val="110"/>
                        </w:rPr>
                        <w:t>四川省食品药品审查评价及安全监测中心文件</w:t>
                      </w:r>
                    </w:p>
                    <w:p w14:paraId="433D9E35">
                      <w:pPr>
                        <w:jc w:val="center"/>
                        <w:rPr>
                          <w:color w:val="FF2D2D"/>
                          <w:w w:val="40"/>
                          <w:sz w:val="110"/>
                          <w:szCs w:val="110"/>
                        </w:rPr>
                      </w:pPr>
                    </w:p>
                  </w:txbxContent>
                </v:textbox>
              </v:shape>
            </w:pict>
          </mc:Fallback>
        </mc:AlternateContent>
      </w:r>
    </w:p>
    <w:p w14:paraId="62448F77">
      <w:pPr>
        <w:keepNext w:val="0"/>
        <w:keepLines w:val="0"/>
        <w:pageBreakBefore w:val="0"/>
        <w:tabs>
          <w:tab w:val="left" w:pos="7660"/>
        </w:tabs>
        <w:kinsoku/>
        <w:wordWrap/>
        <w:overflowPunct/>
        <w:topLinePunct w:val="0"/>
        <w:autoSpaceDE/>
        <w:autoSpaceDN/>
        <w:bidi w:val="0"/>
        <w:snapToGrid w:val="0"/>
        <w:spacing w:beforeAutospacing="0" w:afterAutospacing="0" w:line="560" w:lineRule="exact"/>
        <w:jc w:val="left"/>
        <w:rPr>
          <w:rFonts w:hint="eastAsia" w:ascii="Times New Roman" w:hAnsi="Times New Roman" w:eastAsia="仿宋_GB2312"/>
          <w:sz w:val="30"/>
          <w:lang w:eastAsia="zh-CN"/>
        </w:rPr>
      </w:pPr>
      <w:r>
        <w:rPr>
          <w:rFonts w:hint="eastAsia" w:ascii="Times New Roman" w:hAnsi="Times New Roman" w:eastAsia="仿宋_GB2312"/>
          <w:sz w:val="30"/>
          <w:lang w:eastAsia="zh-CN"/>
        </w:rPr>
        <w:tab/>
      </w:r>
    </w:p>
    <w:p w14:paraId="03FBAB51">
      <w:pPr>
        <w:keepNext w:val="0"/>
        <w:keepLines w:val="0"/>
        <w:pageBreakBefore w:val="0"/>
        <w:tabs>
          <w:tab w:val="left" w:pos="3144"/>
        </w:tabs>
        <w:kinsoku/>
        <w:wordWrap/>
        <w:overflowPunct/>
        <w:topLinePunct w:val="0"/>
        <w:autoSpaceDE/>
        <w:autoSpaceDN/>
        <w:bidi w:val="0"/>
        <w:snapToGrid w:val="0"/>
        <w:spacing w:beforeAutospacing="0" w:afterAutospacing="0" w:line="560" w:lineRule="exact"/>
        <w:jc w:val="left"/>
        <w:rPr>
          <w:rFonts w:ascii="Times New Roman" w:hAnsi="Times New Roman" w:eastAsia="仿宋_GB2312"/>
          <w:sz w:val="30"/>
        </w:rPr>
      </w:pPr>
    </w:p>
    <w:p w14:paraId="6486FA7F">
      <w:pPr>
        <w:keepNext w:val="0"/>
        <w:keepLines w:val="0"/>
        <w:pageBreakBefore w:val="0"/>
        <w:tabs>
          <w:tab w:val="left" w:pos="3144"/>
        </w:tabs>
        <w:kinsoku/>
        <w:wordWrap/>
        <w:overflowPunct/>
        <w:topLinePunct w:val="0"/>
        <w:autoSpaceDE/>
        <w:autoSpaceDN/>
        <w:bidi w:val="0"/>
        <w:snapToGrid w:val="0"/>
        <w:spacing w:beforeAutospacing="0" w:afterAutospacing="0" w:line="560" w:lineRule="exact"/>
        <w:jc w:val="left"/>
        <w:rPr>
          <w:rFonts w:ascii="Times New Roman" w:hAnsi="Times New Roman" w:eastAsia="仿宋_GB2312"/>
          <w:sz w:val="30"/>
        </w:rPr>
      </w:pPr>
    </w:p>
    <w:p w14:paraId="512D062E">
      <w:pPr>
        <w:keepNext w:val="0"/>
        <w:keepLines w:val="0"/>
        <w:pageBreakBefore w:val="0"/>
        <w:tabs>
          <w:tab w:val="left" w:pos="3144"/>
        </w:tabs>
        <w:kinsoku/>
        <w:wordWrap/>
        <w:overflowPunct/>
        <w:topLinePunct w:val="0"/>
        <w:autoSpaceDE/>
        <w:autoSpaceDN/>
        <w:bidi w:val="0"/>
        <w:snapToGrid w:val="0"/>
        <w:spacing w:beforeAutospacing="0" w:afterAutospacing="0" w:line="560" w:lineRule="exact"/>
        <w:ind w:left="-4" w:leftChars="-95" w:right="-233" w:rightChars="-111" w:hanging="195" w:hangingChars="65"/>
        <w:jc w:val="left"/>
        <w:rPr>
          <w:rFonts w:hint="default" w:ascii="Times New Roman" w:hAnsi="Times New Roman" w:eastAsia="仿宋_GB2312"/>
          <w:lang w:val="en-US" w:eastAsia="zh-CN"/>
        </w:rPr>
      </w:pPr>
      <w:r>
        <w:rPr>
          <w:rFonts w:ascii="Times New Roman" w:hAnsi="Times New Roman" w:eastAsia="仿宋_GB2312"/>
          <w:sz w:val="30"/>
          <w:szCs w:val="30"/>
        </w:rPr>
        <w:t>川食药审查〔20</w:t>
      </w:r>
      <w:r>
        <w:rPr>
          <w:rFonts w:hint="eastAsia" w:ascii="Times New Roman" w:hAnsi="Times New Roman" w:eastAsia="仿宋_GB2312"/>
          <w:sz w:val="30"/>
          <w:szCs w:val="30"/>
          <w:lang w:val="en-US" w:eastAsia="zh-CN"/>
        </w:rPr>
        <w:t>2</w:t>
      </w:r>
      <w:r>
        <w:rPr>
          <w:rFonts w:hint="eastAsia" w:eastAsia="仿宋_GB2312"/>
          <w:sz w:val="30"/>
          <w:szCs w:val="30"/>
          <w:lang w:val="en-US" w:eastAsia="zh-CN"/>
        </w:rPr>
        <w:t>5</w:t>
      </w:r>
      <w:r>
        <w:rPr>
          <w:rFonts w:ascii="Times New Roman" w:hAnsi="Times New Roman" w:eastAsia="仿宋_GB2312"/>
          <w:sz w:val="30"/>
          <w:szCs w:val="30"/>
        </w:rPr>
        <w:t>〕</w:t>
      </w:r>
      <w:r>
        <w:rPr>
          <w:rFonts w:hint="eastAsia" w:eastAsia="仿宋_GB2312"/>
          <w:sz w:val="30"/>
          <w:szCs w:val="30"/>
          <w:lang w:val="en-US" w:eastAsia="zh-CN"/>
        </w:rPr>
        <w:t>37</w:t>
      </w:r>
      <w:r>
        <w:rPr>
          <w:rFonts w:hint="eastAsia" w:ascii="Times New Roman" w:hAnsi="Times New Roman" w:eastAsia="仿宋_GB2312"/>
          <w:sz w:val="30"/>
          <w:szCs w:val="30"/>
        </w:rPr>
        <w:t>号</w:t>
      </w:r>
      <w:r>
        <w:rPr>
          <w:rFonts w:hint="eastAsia" w:ascii="Times New Roman" w:hAnsi="Times New Roman" w:eastAsia="仿宋_GB2312"/>
          <w:sz w:val="30"/>
          <w:szCs w:val="30"/>
          <w:lang w:val="en-US" w:eastAsia="zh-CN"/>
        </w:rPr>
        <w:t xml:space="preserve"> </w:t>
      </w:r>
      <w:r>
        <w:rPr>
          <w:rFonts w:hint="eastAsia" w:ascii="Times New Roman" w:hAnsi="Times New Roman" w:eastAsia="仿宋_GB2312"/>
          <w:sz w:val="30"/>
          <w:lang w:val="en-US" w:eastAsia="zh-CN"/>
        </w:rPr>
        <w:t xml:space="preserve">                       签发人：杜 宇</w:t>
      </w:r>
    </w:p>
    <w:p w14:paraId="0296536E">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right="0" w:rightChars="0" w:firstLine="880" w:firstLineChars="200"/>
        <w:jc w:val="both"/>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mc:AlternateContent>
          <mc:Choice Requires="wps">
            <w:drawing>
              <wp:anchor distT="0" distB="0" distL="114300" distR="114300" simplePos="0" relativeHeight="251661312" behindDoc="0" locked="0" layoutInCell="1" allowOverlap="1">
                <wp:simplePos x="0" y="0"/>
                <wp:positionH relativeFrom="margin">
                  <wp:posOffset>-259715</wp:posOffset>
                </wp:positionH>
                <wp:positionV relativeFrom="paragraph">
                  <wp:posOffset>27305</wp:posOffset>
                </wp:positionV>
                <wp:extent cx="5939790" cy="635"/>
                <wp:effectExtent l="0" t="15875" r="3810" b="21590"/>
                <wp:wrapNone/>
                <wp:docPr id="2" name="直接连接符 2"/>
                <wp:cNvGraphicFramePr/>
                <a:graphic xmlns:a="http://schemas.openxmlformats.org/drawingml/2006/main">
                  <a:graphicData uri="http://schemas.microsoft.com/office/word/2010/wordprocessingShape">
                    <wps:wsp>
                      <wps:cNvCnPr/>
                      <wps:spPr>
                        <a:xfrm flipV="1">
                          <a:off x="0" y="0"/>
                          <a:ext cx="5939790" cy="635"/>
                        </a:xfrm>
                        <a:prstGeom prst="line">
                          <a:avLst/>
                        </a:prstGeom>
                        <a:noFill/>
                        <a:ln w="31750" cap="flat" cmpd="sng" algn="ctr">
                          <a:solidFill>
                            <a:srgbClr val="FF2D2D"/>
                          </a:solidFill>
                          <a:prstDash val="solid"/>
                          <a:miter lim="800000"/>
                        </a:ln>
                        <a:effectLst/>
                      </wps:spPr>
                      <wps:bodyPr/>
                    </wps:wsp>
                  </a:graphicData>
                </a:graphic>
              </wp:anchor>
            </w:drawing>
          </mc:Choice>
          <mc:Fallback>
            <w:pict>
              <v:line id="_x0000_s1026" o:spid="_x0000_s1026" o:spt="20" style="position:absolute;left:0pt;flip:y;margin-left:-20.45pt;margin-top:2.15pt;height:0.05pt;width:467.7pt;mso-position-horizontal-relative:margin;z-index:251661312;mso-width-relative:page;mso-height-relative:page;" filled="f" stroked="t" coordsize="21600,21600" o:gfxdata="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GxSv1AAAAAcBAAAPAAAAAAAAAAEAIAAAACIAAABkcnMvZG93bnJldi54bWxQSwEC&#10;FAAUAAAACACHTuJAil20bfgBAADMAwAADgAAAAAAAAABACAAAAAjAQAAZHJzL2Uyb0RvYy54bWxQ&#10;SwUGAAAAAAYABgBZAQAAjQUAAAAA&#10;">
                <v:fill on="f" focussize="0,0"/>
                <v:stroke weight="2.5pt" color="#FF2D2D" miterlimit="8" joinstyle="miter"/>
                <v:imagedata o:title=""/>
                <o:lock v:ext="edit" aspectratio="f"/>
              </v:line>
            </w:pict>
          </mc:Fallback>
        </mc:AlternateContent>
      </w:r>
    </w:p>
    <w:p w14:paraId="16799F38">
      <w:pPr>
        <w:keepNext w:val="0"/>
        <w:keepLines w:val="0"/>
        <w:pageBreakBefore w:val="0"/>
        <w:widowControl w:val="0"/>
        <w:kinsoku/>
        <w:wordWrap/>
        <w:overflowPunct/>
        <w:topLinePunct w:val="0"/>
        <w:autoSpaceDE/>
        <w:autoSpaceDN/>
        <w:bidi w:val="0"/>
        <w:spacing w:line="620" w:lineRule="exact"/>
        <w:jc w:val="center"/>
        <w:textAlignment w:val="auto"/>
        <w:rPr>
          <w:rFonts w:hint="eastAsia"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四川省食品药品审查评价及安全监测中心</w:t>
      </w:r>
      <w:r>
        <w:rPr>
          <w:rFonts w:hint="eastAsia" w:ascii="Times New Roman" w:hAnsi="Times New Roman" w:eastAsia="方正小标宋简体" w:cs="Times New Roman"/>
          <w:sz w:val="44"/>
          <w:szCs w:val="44"/>
          <w:lang w:val="en-US" w:eastAsia="zh-CN"/>
        </w:rPr>
        <w:t>关于</w:t>
      </w:r>
      <w:r>
        <w:rPr>
          <w:rFonts w:hint="eastAsia" w:ascii="Times New Roman" w:hAnsi="Times New Roman" w:eastAsia="方正小标宋简体" w:cs="Times New Roman"/>
          <w:color w:val="auto"/>
          <w:sz w:val="44"/>
          <w:szCs w:val="44"/>
          <w:lang w:val="en-US" w:eastAsia="zh-CN"/>
        </w:rPr>
        <w:t>2024年单位决算编制说明的报告</w:t>
      </w:r>
    </w:p>
    <w:p w14:paraId="7D21A626">
      <w:pPr>
        <w:keepNext w:val="0"/>
        <w:keepLines w:val="0"/>
        <w:pageBreakBefore w:val="0"/>
        <w:widowControl w:val="0"/>
        <w:kinsoku/>
        <w:wordWrap/>
        <w:overflowPunct/>
        <w:topLinePunct w:val="0"/>
        <w:autoSpaceDE/>
        <w:autoSpaceDN/>
        <w:bidi w:val="0"/>
        <w:adjustRightInd w:val="0"/>
        <w:snapToGrid w:val="0"/>
        <w:spacing w:beforeAutospacing="0" w:afterAutospacing="0" w:line="62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p>
    <w:p w14:paraId="2D832E5D">
      <w:pPr>
        <w:keepNext w:val="0"/>
        <w:keepLines w:val="0"/>
        <w:pageBreakBefore w:val="0"/>
        <w:widowControl w:val="0"/>
        <w:kinsoku/>
        <w:wordWrap/>
        <w:overflowPunct/>
        <w:topLinePunct w:val="0"/>
        <w:autoSpaceDE/>
        <w:autoSpaceDN/>
        <w:bidi w:val="0"/>
        <w:spacing w:line="620" w:lineRule="exact"/>
        <w:textAlignment w:val="auto"/>
        <w:rPr>
          <w:rFonts w:hint="default"/>
          <w:lang w:val="en-US" w:eastAsia="zh-CN"/>
        </w:rPr>
      </w:pPr>
      <w:r>
        <w:rPr>
          <w:rFonts w:hint="default" w:ascii="Times New Roman" w:hAnsi="Times New Roman" w:eastAsia="仿宋_GB2312" w:cs="Times New Roman"/>
          <w:color w:val="000000"/>
          <w:kern w:val="2"/>
          <w:sz w:val="32"/>
          <w:szCs w:val="32"/>
          <w:lang w:val="en-US" w:eastAsia="zh-CN" w:bidi="ar-SA"/>
        </w:rPr>
        <w:t>四川省药品监督管理局：</w:t>
      </w:r>
    </w:p>
    <w:p w14:paraId="66277459">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仿宋_GB2312"/>
          <w:color w:val="000000"/>
          <w:sz w:val="32"/>
          <w:szCs w:val="32"/>
        </w:rPr>
        <w:t>四川省</w:t>
      </w:r>
      <w:r>
        <w:rPr>
          <w:rFonts w:hint="eastAsia" w:ascii="Times New Roman" w:hAnsi="Times New Roman" w:eastAsia="仿宋_GB2312" w:cs="仿宋_GB2312"/>
          <w:color w:val="000000"/>
          <w:sz w:val="32"/>
          <w:szCs w:val="32"/>
          <w:lang w:eastAsia="zh-CN"/>
        </w:rPr>
        <w:t>第</w:t>
      </w:r>
      <w:r>
        <w:rPr>
          <w:rFonts w:hint="eastAsia" w:ascii="Times New Roman" w:hAnsi="Times New Roman" w:eastAsia="仿宋_GB2312" w:cs="仿宋_GB2312"/>
          <w:color w:val="000000"/>
          <w:sz w:val="32"/>
          <w:szCs w:val="32"/>
        </w:rPr>
        <w:t>十</w:t>
      </w:r>
      <w:r>
        <w:rPr>
          <w:rFonts w:hint="eastAsia" w:ascii="Times New Roman" w:hAnsi="Times New Roman" w:eastAsia="仿宋_GB2312" w:cs="仿宋_GB2312"/>
          <w:color w:val="000000"/>
          <w:sz w:val="32"/>
          <w:szCs w:val="32"/>
          <w:lang w:eastAsia="zh-CN"/>
        </w:rPr>
        <w:t>四</w:t>
      </w:r>
      <w:r>
        <w:rPr>
          <w:rFonts w:hint="eastAsia" w:ascii="Times New Roman" w:hAnsi="Times New Roman" w:eastAsia="仿宋_GB2312" w:cs="仿宋_GB2312"/>
          <w:color w:val="000000"/>
          <w:sz w:val="32"/>
          <w:szCs w:val="32"/>
        </w:rPr>
        <w:t>届</w:t>
      </w:r>
      <w:r>
        <w:rPr>
          <w:rFonts w:hint="eastAsia" w:ascii="Times New Roman" w:hAnsi="Times New Roman" w:eastAsia="仿宋_GB2312"/>
          <w:color w:val="000000"/>
          <w:sz w:val="32"/>
          <w:szCs w:val="32"/>
        </w:rPr>
        <w:t>人大常委会第</w:t>
      </w:r>
      <w:r>
        <w:rPr>
          <w:rFonts w:hint="eastAsia" w:ascii="Times New Roman" w:hAnsi="Times New Roman" w:eastAsia="仿宋_GB2312"/>
          <w:color w:val="000000"/>
          <w:sz w:val="32"/>
          <w:szCs w:val="32"/>
          <w:lang w:eastAsia="zh-CN"/>
        </w:rPr>
        <w:t>二十</w:t>
      </w:r>
      <w:r>
        <w:rPr>
          <w:rFonts w:hint="eastAsia" w:ascii="Times New Roman" w:hAnsi="Times New Roman" w:eastAsia="仿宋_GB2312"/>
          <w:color w:val="000000"/>
          <w:sz w:val="32"/>
          <w:szCs w:val="32"/>
        </w:rPr>
        <w:t>次会议</w:t>
      </w:r>
      <w:r>
        <w:rPr>
          <w:rFonts w:hint="eastAsia" w:ascii="Times New Roman" w:hAnsi="Times New Roman" w:eastAsia="仿宋_GB2312"/>
          <w:color w:val="000000"/>
          <w:sz w:val="32"/>
          <w:szCs w:val="32"/>
          <w:lang w:val="en-US" w:eastAsia="zh-CN"/>
        </w:rPr>
        <w:t>已经</w:t>
      </w:r>
      <w:r>
        <w:rPr>
          <w:rFonts w:hint="eastAsia" w:ascii="Times New Roman" w:hAnsi="Times New Roman" w:eastAsia="仿宋_GB2312" w:cs="仿宋_GB2312"/>
          <w:sz w:val="32"/>
          <w:szCs w:val="32"/>
        </w:rPr>
        <w:t>批准</w:t>
      </w:r>
      <w:r>
        <w:rPr>
          <w:rFonts w:hint="eastAsia" w:ascii="Times New Roman" w:hAnsi="Times New Roman" w:eastAsia="仿宋_GB2312" w:cs="仿宋_GB2312"/>
          <w:sz w:val="32"/>
          <w:szCs w:val="32"/>
          <w:lang w:eastAsia="zh-CN"/>
        </w:rPr>
        <w:t>2024年度</w:t>
      </w:r>
      <w:r>
        <w:rPr>
          <w:rFonts w:hint="eastAsia" w:ascii="Times New Roman" w:hAnsi="Times New Roman" w:eastAsia="仿宋_GB2312" w:cs="仿宋_GB2312"/>
          <w:sz w:val="32"/>
          <w:szCs w:val="32"/>
        </w:rPr>
        <w:t>省级财政决算</w:t>
      </w:r>
      <w:r>
        <w:rPr>
          <w:rFonts w:hint="default" w:ascii="Times New Roman" w:hAnsi="Times New Roman" w:eastAsia="仿宋_GB2312" w:cs="Times New Roman"/>
          <w:sz w:val="32"/>
          <w:szCs w:val="32"/>
          <w:lang w:val="en-US" w:eastAsia="zh-CN"/>
        </w:rPr>
        <w:t>，我中心积极做好决算公开相关工作，完成202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lang w:val="en-US" w:eastAsia="zh-CN"/>
        </w:rPr>
        <w:t>度</w:t>
      </w:r>
      <w:r>
        <w:rPr>
          <w:rFonts w:hint="default" w:ascii="Times New Roman" w:hAnsi="Times New Roman" w:eastAsia="仿宋_GB2312" w:cs="Times New Roman"/>
          <w:sz w:val="32"/>
          <w:szCs w:val="32"/>
          <w:lang w:val="en-US" w:eastAsia="zh-CN"/>
        </w:rPr>
        <w:t>单位决算编制说明（见附件），计划按规定时限在我中心门户网站</w:t>
      </w:r>
      <w:r>
        <w:rPr>
          <w:rFonts w:hint="eastAsia" w:ascii="Times New Roman" w:hAnsi="Times New Roman" w:eastAsia="仿宋_GB2312" w:cs="Times New Roman"/>
          <w:sz w:val="32"/>
          <w:szCs w:val="32"/>
          <w:lang w:val="en-US" w:eastAsia="zh-CN"/>
        </w:rPr>
        <w:t>政务公开</w:t>
      </w:r>
      <w:r>
        <w:rPr>
          <w:rFonts w:hint="default" w:ascii="Times New Roman" w:hAnsi="Times New Roman" w:eastAsia="仿宋_GB2312" w:cs="Times New Roman"/>
          <w:sz w:val="32"/>
          <w:szCs w:val="32"/>
          <w:lang w:val="en-US" w:eastAsia="zh-CN"/>
        </w:rPr>
        <w:t>专栏</w:t>
      </w:r>
      <w:r>
        <w:rPr>
          <w:rFonts w:hint="eastAsia" w:ascii="Times New Roman" w:hAnsi="Times New Roman" w:eastAsia="仿宋_GB2312" w:cs="Times New Roman"/>
          <w:sz w:val="32"/>
          <w:szCs w:val="32"/>
          <w:lang w:val="en-US" w:eastAsia="zh-CN"/>
        </w:rPr>
        <w:t>（https://www.scfdeim.com/#/column?id=3&amp;pid=3）</w:t>
      </w:r>
      <w:r>
        <w:rPr>
          <w:rFonts w:hint="default" w:ascii="Times New Roman" w:hAnsi="Times New Roman" w:eastAsia="仿宋_GB2312" w:cs="Times New Roman"/>
          <w:sz w:val="32"/>
          <w:szCs w:val="32"/>
          <w:lang w:val="en-US" w:eastAsia="zh-CN"/>
        </w:rPr>
        <w:t>向社会公开。现将我中心202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lang w:val="en-US" w:eastAsia="zh-CN"/>
        </w:rPr>
        <w:t>度</w:t>
      </w:r>
      <w:r>
        <w:rPr>
          <w:rFonts w:hint="default" w:ascii="Times New Roman" w:hAnsi="Times New Roman" w:eastAsia="仿宋_GB2312" w:cs="Times New Roman"/>
          <w:sz w:val="32"/>
          <w:szCs w:val="32"/>
          <w:lang w:val="en-US" w:eastAsia="zh-CN"/>
        </w:rPr>
        <w:t>单位决算编制说明和网站链接上报，请审阅。</w:t>
      </w:r>
    </w:p>
    <w:p w14:paraId="0119C097">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sz w:val="32"/>
          <w:szCs w:val="32"/>
          <w:lang w:val="en-US" w:eastAsia="zh-CN"/>
        </w:rPr>
      </w:pPr>
    </w:p>
    <w:p w14:paraId="74D61750">
      <w:pPr>
        <w:keepNext w:val="0"/>
        <w:keepLines w:val="0"/>
        <w:pageBreakBefore w:val="0"/>
        <w:widowControl w:val="0"/>
        <w:kinsoku/>
        <w:wordWrap/>
        <w:overflowPunct/>
        <w:topLinePunct w:val="0"/>
        <w:autoSpaceDE/>
        <w:autoSpaceDN/>
        <w:bidi w:val="0"/>
        <w:adjustRightInd/>
        <w:snapToGrid/>
        <w:spacing w:line="620" w:lineRule="exact"/>
        <w:ind w:left="1493" w:leftChars="303" w:hanging="857" w:hangingChars="268"/>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附件：202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lang w:val="en-US" w:eastAsia="zh-CN"/>
        </w:rPr>
        <w:t>度</w:t>
      </w:r>
      <w:r>
        <w:rPr>
          <w:rFonts w:hint="default" w:ascii="Times New Roman" w:hAnsi="Times New Roman" w:eastAsia="仿宋_GB2312" w:cs="Times New Roman"/>
          <w:sz w:val="32"/>
          <w:szCs w:val="32"/>
          <w:lang w:val="en-US" w:eastAsia="zh-CN"/>
        </w:rPr>
        <w:t>四川省食品药品审查评价及安全监测中</w:t>
      </w:r>
    </w:p>
    <w:p w14:paraId="552894D8">
      <w:pPr>
        <w:keepNext w:val="0"/>
        <w:keepLines w:val="0"/>
        <w:pageBreakBefore w:val="0"/>
        <w:widowControl w:val="0"/>
        <w:kinsoku/>
        <w:wordWrap/>
        <w:overflowPunct/>
        <w:topLinePunct w:val="0"/>
        <w:autoSpaceDE/>
        <w:autoSpaceDN/>
        <w:bidi w:val="0"/>
        <w:adjustRightInd/>
        <w:snapToGrid/>
        <w:spacing w:line="620" w:lineRule="exact"/>
        <w:ind w:left="1493" w:leftChars="303" w:hanging="857" w:hangingChars="268"/>
        <w:textAlignment w:val="auto"/>
        <w:rPr>
          <w:rFonts w:hint="default" w:ascii="Times New Roman" w:hAnsi="Times New Roman" w:eastAsia="仿宋_GB2312" w:cs="Times New Roman"/>
          <w:sz w:val="32"/>
          <w:szCs w:val="32"/>
          <w:lang w:val="en-US" w:eastAsia="zh-CN"/>
        </w:rPr>
      </w:pPr>
    </w:p>
    <w:p w14:paraId="015E0765">
      <w:pPr>
        <w:keepNext w:val="0"/>
        <w:keepLines w:val="0"/>
        <w:pageBreakBefore w:val="0"/>
        <w:widowControl w:val="0"/>
        <w:kinsoku/>
        <w:wordWrap/>
        <w:overflowPunct/>
        <w:topLinePunct w:val="0"/>
        <w:autoSpaceDE/>
        <w:autoSpaceDN/>
        <w:bidi w:val="0"/>
        <w:adjustRightInd/>
        <w:snapToGrid/>
        <w:spacing w:line="620" w:lineRule="exact"/>
        <w:ind w:left="1594" w:leftChars="759" w:firstLine="102" w:firstLineChars="32"/>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心单位决算</w:t>
      </w:r>
    </w:p>
    <w:p w14:paraId="7A7702E8">
      <w:pPr>
        <w:keepNext w:val="0"/>
        <w:keepLines w:val="0"/>
        <w:pageBreakBefore w:val="0"/>
        <w:widowControl w:val="0"/>
        <w:numPr>
          <w:ilvl w:val="0"/>
          <w:numId w:val="0"/>
        </w:numPr>
        <w:kinsoku/>
        <w:wordWrap/>
        <w:overflowPunct/>
        <w:topLinePunct w:val="0"/>
        <w:autoSpaceDE/>
        <w:autoSpaceDN/>
        <w:bidi w:val="0"/>
        <w:adjustRightInd/>
        <w:snapToGrid/>
        <w:spacing w:line="620" w:lineRule="exact"/>
        <w:jc w:val="both"/>
        <w:textAlignment w:val="auto"/>
        <w:outlineLvl w:val="1"/>
        <w:rPr>
          <w:rFonts w:hint="default" w:ascii="Times New Roman" w:hAnsi="Times New Roman" w:eastAsia="仿宋_GB2312" w:cs="Times New Roman"/>
          <w:sz w:val="32"/>
          <w:szCs w:val="32"/>
          <w:lang w:val="en-US" w:eastAsia="zh-CN"/>
        </w:rPr>
      </w:pPr>
    </w:p>
    <w:p w14:paraId="25F0218E">
      <w:pPr>
        <w:pStyle w:val="2"/>
        <w:rPr>
          <w:rFonts w:hint="default"/>
          <w:lang w:val="en-US" w:eastAsia="zh-CN"/>
        </w:rPr>
      </w:pPr>
    </w:p>
    <w:p w14:paraId="24C5384A">
      <w:pPr>
        <w:keepNext w:val="0"/>
        <w:keepLines w:val="0"/>
        <w:pageBreakBefore w:val="0"/>
        <w:widowControl w:val="0"/>
        <w:kinsoku/>
        <w:wordWrap/>
        <w:overflowPunct/>
        <w:topLinePunct w:val="0"/>
        <w:autoSpaceDE/>
        <w:autoSpaceDN/>
        <w:bidi w:val="0"/>
        <w:adjustRightInd w:val="0"/>
        <w:snapToGrid w:val="0"/>
        <w:spacing w:beforeAutospacing="0" w:afterAutospacing="0" w:line="620" w:lineRule="exact"/>
        <w:ind w:left="0" w:leftChars="0" w:firstLine="2188" w:firstLineChars="684"/>
        <w:jc w:val="both"/>
        <w:textAlignment w:val="auto"/>
        <w:rPr>
          <w:rFonts w:hint="default" w:ascii="Times New Roman" w:hAnsi="Times New Roman" w:eastAsia="仿宋_GB2312" w:cs="Times New Roman"/>
          <w:color w:val="auto"/>
          <w:spacing w:val="0"/>
          <w:kern w:val="0"/>
          <w:sz w:val="32"/>
          <w:szCs w:val="32"/>
          <w:lang w:val="en-US" w:eastAsia="zh-CN"/>
        </w:rPr>
      </w:pPr>
      <w:r>
        <w:rPr>
          <w:rFonts w:hint="default" w:ascii="Times New Roman" w:hAnsi="Times New Roman" w:eastAsia="仿宋_GB2312" w:cs="Times New Roman"/>
          <w:color w:val="auto"/>
          <w:spacing w:val="0"/>
          <w:kern w:val="0"/>
          <w:sz w:val="32"/>
          <w:szCs w:val="32"/>
          <w:lang w:val="en-US" w:eastAsia="zh-CN"/>
        </w:rPr>
        <w:t>四川省食品药品审查评价及安全监测中心</w:t>
      </w:r>
    </w:p>
    <w:p w14:paraId="15C8160D">
      <w:pPr>
        <w:keepNext w:val="0"/>
        <w:keepLines w:val="0"/>
        <w:pageBreakBefore w:val="0"/>
        <w:widowControl w:val="0"/>
        <w:kinsoku/>
        <w:wordWrap/>
        <w:overflowPunct/>
        <w:topLinePunct w:val="0"/>
        <w:autoSpaceDE/>
        <w:autoSpaceDN/>
        <w:bidi w:val="0"/>
        <w:adjustRightInd w:val="0"/>
        <w:snapToGrid w:val="0"/>
        <w:spacing w:line="620" w:lineRule="exact"/>
        <w:ind w:left="0" w:leftChars="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color w:val="auto"/>
          <w:spacing w:val="0"/>
          <w:kern w:val="0"/>
          <w:sz w:val="32"/>
          <w:szCs w:val="32"/>
          <w:lang w:val="en-US" w:eastAsia="zh-CN"/>
        </w:rPr>
        <w:t xml:space="preserve">                        202</w:t>
      </w:r>
      <w:r>
        <w:rPr>
          <w:rFonts w:hint="eastAsia" w:eastAsia="仿宋_GB2312" w:cs="Times New Roman"/>
          <w:color w:val="auto"/>
          <w:spacing w:val="0"/>
          <w:kern w:val="0"/>
          <w:sz w:val="32"/>
          <w:szCs w:val="32"/>
          <w:lang w:val="en-US" w:eastAsia="zh-CN"/>
        </w:rPr>
        <w:t>5</w:t>
      </w:r>
      <w:r>
        <w:rPr>
          <w:rFonts w:hint="default" w:ascii="Times New Roman" w:hAnsi="Times New Roman" w:eastAsia="仿宋_GB2312" w:cs="Times New Roman"/>
          <w:color w:val="auto"/>
          <w:spacing w:val="0"/>
          <w:kern w:val="0"/>
          <w:sz w:val="32"/>
          <w:szCs w:val="32"/>
          <w:lang w:val="en-US" w:eastAsia="zh-CN"/>
        </w:rPr>
        <w:t>年</w:t>
      </w:r>
      <w:r>
        <w:rPr>
          <w:rFonts w:hint="eastAsia" w:eastAsia="仿宋_GB2312" w:cs="Times New Roman"/>
          <w:color w:val="auto"/>
          <w:spacing w:val="0"/>
          <w:kern w:val="0"/>
          <w:sz w:val="32"/>
          <w:szCs w:val="32"/>
          <w:lang w:val="en-US" w:eastAsia="zh-CN"/>
        </w:rPr>
        <w:t>9</w:t>
      </w:r>
      <w:r>
        <w:rPr>
          <w:rFonts w:hint="default" w:ascii="Times New Roman" w:hAnsi="Times New Roman" w:eastAsia="仿宋_GB2312" w:cs="Times New Roman"/>
          <w:color w:val="auto"/>
          <w:spacing w:val="0"/>
          <w:kern w:val="0"/>
          <w:sz w:val="32"/>
          <w:szCs w:val="32"/>
          <w:lang w:val="en-US" w:eastAsia="zh-CN"/>
        </w:rPr>
        <w:t>月</w:t>
      </w:r>
      <w:r>
        <w:rPr>
          <w:rFonts w:hint="eastAsia" w:eastAsia="仿宋_GB2312" w:cs="Times New Roman"/>
          <w:color w:val="auto"/>
          <w:spacing w:val="0"/>
          <w:kern w:val="0"/>
          <w:sz w:val="32"/>
          <w:szCs w:val="32"/>
          <w:lang w:val="en-US" w:eastAsia="zh-CN"/>
        </w:rPr>
        <w:t>10</w:t>
      </w:r>
      <w:r>
        <w:rPr>
          <w:rFonts w:hint="default" w:ascii="Times New Roman" w:hAnsi="Times New Roman" w:eastAsia="仿宋_GB2312" w:cs="Times New Roman"/>
          <w:color w:val="auto"/>
          <w:spacing w:val="0"/>
          <w:kern w:val="0"/>
          <w:sz w:val="32"/>
          <w:szCs w:val="32"/>
          <w:lang w:val="en-US" w:eastAsia="zh-CN"/>
        </w:rPr>
        <w:t>日</w:t>
      </w:r>
    </w:p>
    <w:p w14:paraId="633AD0F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D18622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E5170EB">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4C692D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29E07C6">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CEF2AB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5093F6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CE067A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EE0B00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66E434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9C6F17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57C2C3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7509A6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B5F5A3A">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F859A3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717800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BA8080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CBAC05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18B91B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3C500F8">
      <w:pPr>
        <w:keepNext w:val="0"/>
        <w:keepLines w:val="0"/>
        <w:pageBreakBefore w:val="0"/>
        <w:widowControl w:val="0"/>
        <w:suppressLineNumbers w:val="0"/>
        <w:kinsoku/>
        <w:wordWrap/>
        <w:overflowPunct/>
        <w:topLinePunct w:val="0"/>
        <w:autoSpaceDE/>
        <w:autoSpaceDN/>
        <w:bidi w:val="0"/>
        <w:adjustRightInd/>
        <w:snapToGrid/>
        <w:spacing w:line="560" w:lineRule="exact"/>
        <w:ind w:firstLine="0" w:firstLineChars="0"/>
        <w:jc w:val="both"/>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附件</w:t>
      </w:r>
    </w:p>
    <w:p w14:paraId="61D772E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p>
    <w:p w14:paraId="0F0415F5">
      <w:pPr>
        <w:pStyle w:val="9"/>
        <w:rPr>
          <w:rFonts w:hint="default"/>
          <w:lang w:val="en-US" w:eastAsia="zh-CN"/>
        </w:rPr>
      </w:pPr>
    </w:p>
    <w:p w14:paraId="5BA12367">
      <w:pPr>
        <w:pStyle w:val="9"/>
        <w:rPr>
          <w:rFonts w:hint="default"/>
          <w:lang w:val="en-US" w:eastAsia="zh-CN"/>
        </w:rPr>
      </w:pPr>
    </w:p>
    <w:p w14:paraId="59CFD610">
      <w:pPr>
        <w:pStyle w:val="9"/>
        <w:rPr>
          <w:rFonts w:hint="default"/>
          <w:lang w:val="en-US" w:eastAsia="zh-CN"/>
        </w:rPr>
      </w:pPr>
    </w:p>
    <w:p w14:paraId="5B21C48E">
      <w:pPr>
        <w:pStyle w:val="9"/>
        <w:rPr>
          <w:rFonts w:hint="default"/>
          <w:lang w:val="en-US" w:eastAsia="zh-CN"/>
        </w:rPr>
      </w:pPr>
    </w:p>
    <w:p w14:paraId="7B29923F">
      <w:pPr>
        <w:pStyle w:val="9"/>
        <w:rPr>
          <w:rFonts w:hint="default"/>
          <w:lang w:val="en-US" w:eastAsia="zh-CN"/>
        </w:rPr>
      </w:pPr>
    </w:p>
    <w:p w14:paraId="2F8BE505">
      <w:pPr>
        <w:pStyle w:val="9"/>
        <w:rPr>
          <w:rFonts w:hint="default"/>
          <w:lang w:val="en-US" w:eastAsia="zh-CN"/>
        </w:rPr>
      </w:pPr>
    </w:p>
    <w:p w14:paraId="234150FE">
      <w:pPr>
        <w:pStyle w:val="9"/>
        <w:rPr>
          <w:rFonts w:hint="default"/>
          <w:lang w:val="en-US" w:eastAsia="zh-CN"/>
        </w:rPr>
      </w:pPr>
    </w:p>
    <w:p w14:paraId="1A63716C">
      <w:pPr>
        <w:pStyle w:val="9"/>
        <w:rPr>
          <w:rFonts w:hint="default"/>
          <w:lang w:val="en-US" w:eastAsia="zh-CN"/>
        </w:rPr>
      </w:pPr>
    </w:p>
    <w:p w14:paraId="2E105E02">
      <w:pPr>
        <w:spacing w:line="600" w:lineRule="exact"/>
        <w:jc w:val="both"/>
        <w:outlineLvl w:val="0"/>
        <w:rPr>
          <w:rFonts w:ascii="方正小标宋简体" w:hAnsi="宋体" w:eastAsia="方正小标宋简体"/>
          <w:color w:val="000000"/>
          <w:sz w:val="72"/>
          <w:szCs w:val="72"/>
        </w:rPr>
      </w:pPr>
    </w:p>
    <w:p w14:paraId="1414BDAA">
      <w:pPr>
        <w:spacing w:line="600" w:lineRule="exact"/>
        <w:jc w:val="center"/>
        <w:outlineLvl w:val="0"/>
        <w:rPr>
          <w:rFonts w:ascii="方正小标宋简体" w:hAnsi="宋体" w:eastAsia="方正小标宋简体"/>
          <w:color w:val="000000"/>
          <w:sz w:val="72"/>
          <w:szCs w:val="72"/>
        </w:rPr>
      </w:pPr>
    </w:p>
    <w:p w14:paraId="2E234547">
      <w:pPr>
        <w:adjustRightInd w:val="0"/>
        <w:snapToGrid w:val="0"/>
        <w:spacing w:line="1000" w:lineRule="exact"/>
        <w:jc w:val="center"/>
        <w:outlineLvl w:val="0"/>
        <w:rPr>
          <w:rFonts w:ascii="方正小标宋简体" w:hAnsi="宋体" w:eastAsia="方正小标宋简体"/>
          <w:sz w:val="72"/>
          <w:szCs w:val="72"/>
        </w:rPr>
      </w:pPr>
      <w:bookmarkStart w:id="0" w:name="_Toc15378441"/>
      <w:bookmarkStart w:id="1" w:name="_Toc15377425"/>
      <w:bookmarkStart w:id="2" w:name="_Toc15377193"/>
      <w:bookmarkStart w:id="3" w:name="_Toc15396475"/>
      <w:bookmarkStart w:id="4" w:name="_Toc15396597"/>
      <w:r>
        <w:rPr>
          <w:rFonts w:hint="default" w:ascii="Times New Roman" w:hAnsi="Times New Roman" w:eastAsia="黑体" w:cs="Times New Roman"/>
          <w:sz w:val="72"/>
          <w:szCs w:val="72"/>
        </w:rPr>
        <w:t>202</w:t>
      </w:r>
      <w:r>
        <w:rPr>
          <w:rFonts w:hint="eastAsia" w:ascii="Times New Roman" w:hAnsi="Times New Roman" w:eastAsia="黑体" w:cs="Times New Roman"/>
          <w:sz w:val="72"/>
          <w:szCs w:val="72"/>
          <w:lang w:val="en-US" w:eastAsia="zh-CN"/>
        </w:rPr>
        <w:t>4</w:t>
      </w:r>
      <w:r>
        <w:rPr>
          <w:rFonts w:hint="eastAsia" w:ascii="方正小标宋简体" w:hAnsi="宋体" w:eastAsia="方正小标宋简体"/>
          <w:sz w:val="72"/>
          <w:szCs w:val="72"/>
        </w:rPr>
        <w:t>年度</w:t>
      </w:r>
      <w:bookmarkEnd w:id="0"/>
      <w:bookmarkEnd w:id="1"/>
      <w:bookmarkEnd w:id="2"/>
      <w:bookmarkEnd w:id="3"/>
      <w:bookmarkEnd w:id="4"/>
    </w:p>
    <w:p w14:paraId="2B270649">
      <w:pPr>
        <w:pStyle w:val="9"/>
        <w:rPr>
          <w:rFonts w:hint="default"/>
          <w:lang w:val="en-US" w:eastAsia="zh-CN"/>
        </w:rPr>
      </w:pPr>
      <w:bookmarkStart w:id="5" w:name="_Toc15378442"/>
      <w:bookmarkStart w:id="6" w:name="_Toc15377194"/>
      <w:bookmarkStart w:id="7" w:name="_Toc15377426"/>
      <w:bookmarkStart w:id="8" w:name="_Toc15396476"/>
      <w:bookmarkStart w:id="9" w:name="_Toc15396598"/>
      <w:r>
        <w:rPr>
          <w:rFonts w:hint="eastAsia" w:ascii="方正小标宋简体" w:hAnsi="宋体" w:eastAsia="方正小标宋简体"/>
          <w:sz w:val="72"/>
          <w:szCs w:val="72"/>
        </w:rPr>
        <w:t>四川省</w:t>
      </w:r>
      <w:bookmarkStart w:id="10" w:name="_Toc15306268"/>
      <w:r>
        <w:rPr>
          <w:rFonts w:hint="eastAsia" w:ascii="方正小标宋简体" w:hAnsi="宋体" w:eastAsia="方正小标宋简体"/>
          <w:color w:val="000000"/>
          <w:sz w:val="72"/>
          <w:szCs w:val="72"/>
        </w:rPr>
        <w:t>食品药品审查评价及安全监测中心</w:t>
      </w:r>
      <w:r>
        <w:rPr>
          <w:rFonts w:hint="eastAsia" w:ascii="方正小标宋简体" w:hAnsi="宋体" w:eastAsia="方正小标宋简体"/>
          <w:sz w:val="72"/>
          <w:szCs w:val="72"/>
          <w:lang w:eastAsia="zh-CN"/>
        </w:rPr>
        <w:t>单位</w:t>
      </w:r>
      <w:r>
        <w:rPr>
          <w:rFonts w:hint="eastAsia" w:ascii="方正小标宋简体" w:hAnsi="宋体" w:eastAsia="方正小标宋简体"/>
          <w:sz w:val="72"/>
          <w:szCs w:val="72"/>
        </w:rPr>
        <w:t>决算</w:t>
      </w:r>
      <w:bookmarkEnd w:id="5"/>
      <w:bookmarkEnd w:id="6"/>
      <w:bookmarkEnd w:id="7"/>
      <w:bookmarkEnd w:id="8"/>
      <w:bookmarkEnd w:id="9"/>
      <w:bookmarkEnd w:id="10"/>
    </w:p>
    <w:p w14:paraId="61697DFE">
      <w:pPr>
        <w:pStyle w:val="9"/>
        <w:rPr>
          <w:rFonts w:hint="default"/>
          <w:lang w:val="en-US" w:eastAsia="zh-CN"/>
        </w:rPr>
      </w:pPr>
    </w:p>
    <w:p w14:paraId="090519F6">
      <w:pPr>
        <w:pStyle w:val="9"/>
        <w:rPr>
          <w:rFonts w:hint="default"/>
          <w:lang w:val="en-US" w:eastAsia="zh-CN"/>
        </w:rPr>
      </w:pPr>
    </w:p>
    <w:p w14:paraId="7857C0DC">
      <w:pPr>
        <w:pStyle w:val="9"/>
        <w:rPr>
          <w:rFonts w:hint="default"/>
          <w:lang w:val="en-US" w:eastAsia="zh-CN"/>
        </w:rPr>
      </w:pPr>
    </w:p>
    <w:p w14:paraId="5D109823">
      <w:pPr>
        <w:pStyle w:val="9"/>
        <w:rPr>
          <w:rFonts w:hint="default"/>
          <w:lang w:val="en-US" w:eastAsia="zh-CN"/>
        </w:rPr>
      </w:pPr>
    </w:p>
    <w:p w14:paraId="076541EC">
      <w:pPr>
        <w:pStyle w:val="9"/>
        <w:rPr>
          <w:rFonts w:hint="default"/>
          <w:lang w:val="en-US" w:eastAsia="zh-CN"/>
        </w:rPr>
      </w:pPr>
    </w:p>
    <w:p w14:paraId="12D8D687">
      <w:pPr>
        <w:pStyle w:val="9"/>
        <w:rPr>
          <w:rFonts w:hint="default"/>
          <w:lang w:val="en-US" w:eastAsia="zh-CN"/>
        </w:rPr>
      </w:pPr>
    </w:p>
    <w:p w14:paraId="31187863">
      <w:pPr>
        <w:pStyle w:val="9"/>
        <w:rPr>
          <w:rFonts w:hint="default"/>
          <w:lang w:val="en-US" w:eastAsia="zh-CN"/>
        </w:rPr>
      </w:pPr>
    </w:p>
    <w:p w14:paraId="48673C78">
      <w:pPr>
        <w:pStyle w:val="9"/>
        <w:rPr>
          <w:rFonts w:hint="default"/>
          <w:lang w:val="en-US" w:eastAsia="zh-CN"/>
        </w:rPr>
      </w:pPr>
    </w:p>
    <w:p w14:paraId="2AB26D52">
      <w:pPr>
        <w:pStyle w:val="9"/>
        <w:rPr>
          <w:rFonts w:hint="default"/>
          <w:lang w:val="en-US" w:eastAsia="zh-CN"/>
        </w:rPr>
      </w:pPr>
    </w:p>
    <w:p w14:paraId="57BA59EC">
      <w:pPr>
        <w:pStyle w:val="9"/>
        <w:rPr>
          <w:rFonts w:hint="default"/>
          <w:lang w:val="en-US" w:eastAsia="zh-CN"/>
        </w:rPr>
      </w:pPr>
    </w:p>
    <w:p w14:paraId="7CB42798">
      <w:pPr>
        <w:pStyle w:val="9"/>
        <w:rPr>
          <w:rFonts w:hint="default"/>
          <w:lang w:val="en-US" w:eastAsia="zh-CN"/>
        </w:rPr>
      </w:pPr>
    </w:p>
    <w:p w14:paraId="33FA9A40">
      <w:pPr>
        <w:pStyle w:val="9"/>
        <w:rPr>
          <w:rFonts w:hint="default"/>
          <w:lang w:val="en-US" w:eastAsia="zh-CN"/>
        </w:rPr>
      </w:pPr>
    </w:p>
    <w:p w14:paraId="2283E25F">
      <w:pPr>
        <w:pStyle w:val="9"/>
        <w:rPr>
          <w:rFonts w:hint="default"/>
          <w:lang w:val="en-US" w:eastAsia="zh-CN"/>
        </w:rPr>
      </w:pPr>
    </w:p>
    <w:p w14:paraId="2F33F692">
      <w:pPr>
        <w:pStyle w:val="9"/>
        <w:rPr>
          <w:rFonts w:hint="default"/>
          <w:lang w:val="en-US" w:eastAsia="zh-CN"/>
        </w:rPr>
      </w:pPr>
    </w:p>
    <w:p w14:paraId="3C70FC3E">
      <w:pPr>
        <w:pStyle w:val="9"/>
        <w:rPr>
          <w:rFonts w:hint="default"/>
          <w:lang w:val="en-US" w:eastAsia="zh-CN"/>
        </w:rPr>
      </w:pPr>
    </w:p>
    <w:p w14:paraId="69FE8A82">
      <w:pPr>
        <w:pStyle w:val="9"/>
        <w:rPr>
          <w:rFonts w:hint="default"/>
          <w:lang w:val="en-US" w:eastAsia="zh-CN"/>
        </w:rPr>
      </w:pPr>
    </w:p>
    <w:p w14:paraId="6618CA72">
      <w:pPr>
        <w:pStyle w:val="9"/>
        <w:rPr>
          <w:rFonts w:hint="default"/>
          <w:lang w:val="en-US" w:eastAsia="zh-CN"/>
        </w:rPr>
      </w:pPr>
    </w:p>
    <w:p w14:paraId="71F30294">
      <w:pPr>
        <w:pStyle w:val="9"/>
        <w:rPr>
          <w:rFonts w:hint="default"/>
          <w:lang w:val="en-US" w:eastAsia="zh-CN"/>
        </w:rPr>
      </w:pPr>
    </w:p>
    <w:p w14:paraId="5168BDBF">
      <w:pPr>
        <w:pStyle w:val="9"/>
        <w:rPr>
          <w:rFonts w:hint="default"/>
          <w:lang w:val="en-US" w:eastAsia="zh-CN"/>
        </w:rPr>
      </w:pPr>
    </w:p>
    <w:p w14:paraId="7A846C23">
      <w:pPr>
        <w:pStyle w:val="9"/>
        <w:rPr>
          <w:rFonts w:hint="default"/>
          <w:lang w:val="en-US" w:eastAsia="zh-CN"/>
        </w:rPr>
      </w:pPr>
    </w:p>
    <w:p w14:paraId="266FCDCF">
      <w:pPr>
        <w:pStyle w:val="9"/>
        <w:rPr>
          <w:rFonts w:hint="default"/>
          <w:lang w:val="en-US" w:eastAsia="zh-CN"/>
        </w:rPr>
      </w:pPr>
    </w:p>
    <w:p w14:paraId="3300C66C">
      <w:pPr>
        <w:pStyle w:val="9"/>
        <w:rPr>
          <w:rFonts w:hint="default"/>
          <w:lang w:val="en-US" w:eastAsia="zh-CN"/>
        </w:rPr>
      </w:pPr>
    </w:p>
    <w:p w14:paraId="7A50FFF0">
      <w:pPr>
        <w:pStyle w:val="9"/>
        <w:rPr>
          <w:rFonts w:hint="default"/>
          <w:lang w:val="en-US" w:eastAsia="zh-CN"/>
        </w:rPr>
      </w:pPr>
    </w:p>
    <w:p w14:paraId="26F27820">
      <w:pPr>
        <w:pStyle w:val="9"/>
        <w:rPr>
          <w:rFonts w:hint="default"/>
          <w:lang w:val="en-US" w:eastAsia="zh-CN"/>
        </w:rPr>
      </w:pPr>
    </w:p>
    <w:p w14:paraId="0384E1B2">
      <w:pPr>
        <w:pStyle w:val="9"/>
        <w:rPr>
          <w:rFonts w:hint="default"/>
          <w:lang w:val="en-US" w:eastAsia="zh-CN"/>
        </w:rPr>
      </w:pPr>
    </w:p>
    <w:p w14:paraId="7DE37C62">
      <w:pPr>
        <w:pStyle w:val="9"/>
        <w:rPr>
          <w:rFonts w:hint="default"/>
          <w:lang w:val="en-US" w:eastAsia="zh-CN"/>
        </w:rPr>
      </w:pPr>
    </w:p>
    <w:p w14:paraId="3D52DA30">
      <w:pPr>
        <w:pStyle w:val="9"/>
        <w:rPr>
          <w:rFonts w:hint="default"/>
          <w:lang w:val="en-US" w:eastAsia="zh-CN"/>
        </w:rPr>
      </w:pPr>
    </w:p>
    <w:p w14:paraId="1C441496">
      <w:pPr>
        <w:pStyle w:val="9"/>
        <w:rPr>
          <w:rFonts w:hint="default"/>
          <w:lang w:val="en-US" w:eastAsia="zh-CN"/>
        </w:rPr>
      </w:pPr>
    </w:p>
    <w:p w14:paraId="2C7BDD1A">
      <w:pPr>
        <w:pStyle w:val="9"/>
        <w:rPr>
          <w:rFonts w:hint="default"/>
          <w:lang w:val="en-US" w:eastAsia="zh-CN"/>
        </w:rPr>
      </w:pPr>
    </w:p>
    <w:p w14:paraId="1A979861">
      <w:pPr>
        <w:pStyle w:val="9"/>
        <w:rPr>
          <w:rFonts w:hint="default"/>
          <w:lang w:val="en-US" w:eastAsia="zh-CN"/>
        </w:rPr>
      </w:pPr>
    </w:p>
    <w:p w14:paraId="1A304FFF">
      <w:pPr>
        <w:pStyle w:val="9"/>
        <w:rPr>
          <w:rFonts w:hint="default"/>
          <w:lang w:val="en-US" w:eastAsia="zh-CN"/>
        </w:rPr>
      </w:pPr>
    </w:p>
    <w:p w14:paraId="38206283">
      <w:pPr>
        <w:pStyle w:val="9"/>
        <w:rPr>
          <w:rFonts w:hint="default"/>
          <w:lang w:val="en-US" w:eastAsia="zh-CN"/>
        </w:rPr>
      </w:pPr>
    </w:p>
    <w:p w14:paraId="609FEEB8">
      <w:pPr>
        <w:pStyle w:val="9"/>
        <w:rPr>
          <w:rFonts w:hint="default"/>
          <w:lang w:val="en-US" w:eastAsia="zh-CN"/>
        </w:rPr>
      </w:pPr>
    </w:p>
    <w:p w14:paraId="346673AE">
      <w:pPr>
        <w:pStyle w:val="9"/>
        <w:rPr>
          <w:rFonts w:hint="default"/>
          <w:lang w:val="en-US" w:eastAsia="zh-CN"/>
        </w:rPr>
      </w:pPr>
    </w:p>
    <w:p w14:paraId="7E22D33D">
      <w:pPr>
        <w:widowControl/>
        <w:jc w:val="center"/>
        <w:rPr>
          <w:rFonts w:ascii="黑体" w:hAnsi="黑体" w:eastAsia="黑体"/>
          <w:sz w:val="48"/>
          <w:szCs w:val="48"/>
        </w:rPr>
      </w:pPr>
      <w:r>
        <w:rPr>
          <w:rFonts w:hint="eastAsia" w:ascii="黑体" w:hAnsi="黑体" w:eastAsia="黑体"/>
          <w:sz w:val="48"/>
          <w:szCs w:val="48"/>
        </w:rPr>
        <w:t>目录</w:t>
      </w:r>
    </w:p>
    <w:p w14:paraId="017079E2">
      <w:pPr>
        <w:widowControl/>
        <w:jc w:val="center"/>
        <w:rPr>
          <w:rFonts w:ascii="黑体" w:hAnsi="黑体" w:eastAsia="黑体" w:cs="Times New Roman"/>
          <w:sz w:val="28"/>
          <w:szCs w:val="28"/>
        </w:rPr>
      </w:pPr>
    </w:p>
    <w:p w14:paraId="614C028F">
      <w:pPr>
        <w:pStyle w:val="11"/>
      </w:pPr>
      <w:r>
        <w:rPr>
          <w:rFonts w:hint="eastAsia"/>
        </w:rPr>
        <w:t>公开时间：202</w:t>
      </w:r>
      <w:r>
        <w:rPr>
          <w:rFonts w:hint="eastAsia"/>
          <w:lang w:val="en-US" w:eastAsia="zh-CN"/>
        </w:rPr>
        <w:t>5</w:t>
      </w:r>
      <w:r>
        <w:rPr>
          <w:rFonts w:hint="eastAsia"/>
        </w:rPr>
        <w:t>年9月</w:t>
      </w:r>
      <w:r>
        <w:rPr>
          <w:rFonts w:hint="eastAsia"/>
          <w:lang w:val="en-US" w:eastAsia="zh-CN"/>
        </w:rPr>
        <w:t>12</w:t>
      </w:r>
      <w:r>
        <w:rPr>
          <w:rFonts w:hint="eastAsia"/>
        </w:rPr>
        <w:t>日</w:t>
      </w:r>
    </w:p>
    <w:p w14:paraId="158B3014"/>
    <w:p w14:paraId="4358EE8E">
      <w:pPr>
        <w:pStyle w:val="11"/>
        <w:adjustRightInd w:val="0"/>
        <w:snapToGrid w:val="0"/>
        <w:spacing w:before="0" w:line="560" w:lineRule="exact"/>
        <w:jc w:val="left"/>
        <w:rPr>
          <w:rFonts w:ascii="Times New Roman" w:hAnsi="Times New Roman" w:eastAsia="仿宋_GB2312"/>
          <w:b/>
          <w:bCs/>
          <w:sz w:val="32"/>
          <w:szCs w:val="32"/>
        </w:rPr>
      </w:pPr>
      <w:r>
        <w:rPr>
          <w:rFonts w:ascii="Times New Roman" w:hAnsi="Times New Roman" w:eastAsia="仿宋_GB2312"/>
          <w:b/>
          <w:bCs/>
          <w:sz w:val="32"/>
          <w:szCs w:val="32"/>
        </w:rPr>
        <w:t xml:space="preserve">第一部分 </w:t>
      </w:r>
      <w:r>
        <w:rPr>
          <w:rFonts w:hint="eastAsia" w:ascii="Times New Roman" w:hAnsi="Times New Roman" w:eastAsia="仿宋_GB2312"/>
          <w:b/>
          <w:bCs/>
          <w:color w:val="000000"/>
          <w:sz w:val="32"/>
          <w:szCs w:val="32"/>
        </w:rPr>
        <w:t>单位</w:t>
      </w:r>
      <w:r>
        <w:rPr>
          <w:rFonts w:ascii="Times New Roman" w:hAnsi="Times New Roman" w:eastAsia="仿宋_GB2312"/>
          <w:b/>
          <w:bCs/>
          <w:sz w:val="32"/>
          <w:szCs w:val="32"/>
        </w:rPr>
        <w:t>概况</w:t>
      </w:r>
    </w:p>
    <w:p w14:paraId="5FF5473C">
      <w:pPr>
        <w:pStyle w:val="13"/>
        <w:adjustRightInd w:val="0"/>
        <w:snapToGrid w:val="0"/>
        <w:spacing w:line="560" w:lineRule="exact"/>
        <w:jc w:val="left"/>
        <w:rPr>
          <w:rFonts w:hint="default" w:eastAsia="仿宋_GB2312"/>
          <w:sz w:val="32"/>
          <w:szCs w:val="32"/>
          <w:lang w:val="en-US" w:eastAsia="zh-CN"/>
        </w:rPr>
      </w:pPr>
      <w:r>
        <w:rPr>
          <w:rFonts w:eastAsia="仿宋_GB2312"/>
          <w:sz w:val="32"/>
          <w:szCs w:val="32"/>
        </w:rPr>
        <w:t>一、</w:t>
      </w:r>
      <w:r>
        <w:rPr>
          <w:rFonts w:hint="eastAsia" w:eastAsia="仿宋_GB2312"/>
          <w:sz w:val="32"/>
          <w:szCs w:val="32"/>
          <w:lang w:val="en-US" w:eastAsia="zh-CN"/>
        </w:rPr>
        <w:t>主要职责</w:t>
      </w:r>
    </w:p>
    <w:p w14:paraId="46041991">
      <w:pPr>
        <w:pStyle w:val="13"/>
        <w:adjustRightInd w:val="0"/>
        <w:snapToGrid w:val="0"/>
        <w:spacing w:line="560" w:lineRule="exact"/>
        <w:jc w:val="left"/>
        <w:rPr>
          <w:rFonts w:hint="eastAsia" w:eastAsia="仿宋_GB2312"/>
          <w:sz w:val="32"/>
          <w:szCs w:val="32"/>
          <w:lang w:eastAsia="zh-CN"/>
        </w:rPr>
      </w:pPr>
      <w:r>
        <w:rPr>
          <w:rFonts w:eastAsia="仿宋_GB2312"/>
          <w:sz w:val="32"/>
          <w:szCs w:val="32"/>
        </w:rPr>
        <w:t>二、</w:t>
      </w:r>
      <w:r>
        <w:rPr>
          <w:rFonts w:hint="eastAsia" w:eastAsia="仿宋_GB2312"/>
          <w:sz w:val="32"/>
          <w:szCs w:val="32"/>
          <w:lang w:val="en-US" w:eastAsia="zh-CN"/>
        </w:rPr>
        <w:t>机构设置</w:t>
      </w:r>
    </w:p>
    <w:p w14:paraId="2258DC10">
      <w:pPr>
        <w:pStyle w:val="11"/>
        <w:adjustRightInd w:val="0"/>
        <w:snapToGrid w:val="0"/>
        <w:spacing w:before="0" w:line="560" w:lineRule="exact"/>
        <w:jc w:val="left"/>
        <w:rPr>
          <w:rFonts w:ascii="Times New Roman" w:hAnsi="Times New Roman" w:eastAsia="仿宋_GB2312"/>
          <w:b/>
          <w:bCs/>
          <w:sz w:val="32"/>
          <w:szCs w:val="32"/>
        </w:rPr>
      </w:pPr>
      <w:r>
        <w:rPr>
          <w:rFonts w:ascii="Times New Roman" w:hAnsi="Times New Roman" w:eastAsia="仿宋_GB2312"/>
          <w:b/>
          <w:bCs/>
          <w:sz w:val="32"/>
          <w:szCs w:val="32"/>
        </w:rPr>
        <w:t>第二部分 202</w:t>
      </w:r>
      <w:r>
        <w:rPr>
          <w:rFonts w:hint="eastAsia" w:ascii="Times New Roman" w:hAnsi="Times New Roman" w:eastAsia="仿宋_GB2312"/>
          <w:b/>
          <w:bCs/>
          <w:sz w:val="32"/>
          <w:szCs w:val="32"/>
          <w:lang w:val="en-US" w:eastAsia="zh-CN"/>
        </w:rPr>
        <w:t>4</w:t>
      </w:r>
      <w:r>
        <w:rPr>
          <w:rFonts w:ascii="Times New Roman" w:hAnsi="Times New Roman" w:eastAsia="仿宋_GB2312"/>
          <w:b/>
          <w:bCs/>
          <w:sz w:val="32"/>
          <w:szCs w:val="32"/>
        </w:rPr>
        <w:t>年度</w:t>
      </w:r>
      <w:r>
        <w:rPr>
          <w:rFonts w:hint="eastAsia" w:ascii="Times New Roman" w:hAnsi="Times New Roman" w:eastAsia="仿宋_GB2312"/>
          <w:b/>
          <w:bCs/>
          <w:sz w:val="32"/>
          <w:szCs w:val="32"/>
          <w:lang w:eastAsia="zh-CN"/>
        </w:rPr>
        <w:t>单位</w:t>
      </w:r>
      <w:r>
        <w:rPr>
          <w:rFonts w:ascii="Times New Roman" w:hAnsi="Times New Roman" w:eastAsia="仿宋_GB2312"/>
          <w:b/>
          <w:bCs/>
          <w:sz w:val="32"/>
          <w:szCs w:val="32"/>
        </w:rPr>
        <w:t>决算情况说明</w:t>
      </w:r>
    </w:p>
    <w:p w14:paraId="7F021090">
      <w:pPr>
        <w:pStyle w:val="13"/>
        <w:adjustRightInd w:val="0"/>
        <w:snapToGrid w:val="0"/>
        <w:spacing w:line="560" w:lineRule="exact"/>
        <w:jc w:val="left"/>
        <w:rPr>
          <w:rFonts w:eastAsia="仿宋_GB2312"/>
          <w:sz w:val="32"/>
          <w:szCs w:val="32"/>
        </w:rPr>
      </w:pPr>
      <w:r>
        <w:rPr>
          <w:rFonts w:eastAsia="仿宋_GB2312"/>
          <w:sz w:val="32"/>
          <w:szCs w:val="32"/>
        </w:rPr>
        <w:t>一、收入支出决算总体情况说明</w:t>
      </w:r>
    </w:p>
    <w:p w14:paraId="27E2A8BC">
      <w:pPr>
        <w:pStyle w:val="13"/>
        <w:adjustRightInd w:val="0"/>
        <w:snapToGrid w:val="0"/>
        <w:spacing w:line="560" w:lineRule="exact"/>
        <w:jc w:val="left"/>
        <w:rPr>
          <w:rFonts w:eastAsia="仿宋_GB2312"/>
          <w:sz w:val="32"/>
          <w:szCs w:val="32"/>
        </w:rPr>
      </w:pPr>
      <w:r>
        <w:rPr>
          <w:rFonts w:eastAsia="仿宋_GB2312"/>
          <w:sz w:val="32"/>
          <w:szCs w:val="32"/>
        </w:rPr>
        <w:t>二、收入决算情况说明</w:t>
      </w:r>
    </w:p>
    <w:p w14:paraId="71FF7EA5">
      <w:pPr>
        <w:pStyle w:val="13"/>
        <w:adjustRightInd w:val="0"/>
        <w:snapToGrid w:val="0"/>
        <w:spacing w:line="560" w:lineRule="exact"/>
        <w:jc w:val="left"/>
        <w:rPr>
          <w:rFonts w:eastAsia="仿宋_GB2312"/>
          <w:sz w:val="32"/>
          <w:szCs w:val="32"/>
        </w:rPr>
      </w:pPr>
      <w:r>
        <w:rPr>
          <w:rFonts w:eastAsia="仿宋_GB2312"/>
          <w:sz w:val="32"/>
          <w:szCs w:val="32"/>
        </w:rPr>
        <w:t>三、支出决算情况说明</w:t>
      </w:r>
    </w:p>
    <w:p w14:paraId="3CD7156A">
      <w:pPr>
        <w:pStyle w:val="13"/>
        <w:adjustRightInd w:val="0"/>
        <w:snapToGrid w:val="0"/>
        <w:spacing w:line="560" w:lineRule="exact"/>
        <w:jc w:val="left"/>
        <w:rPr>
          <w:rFonts w:eastAsia="仿宋_GB2312"/>
          <w:sz w:val="32"/>
          <w:szCs w:val="32"/>
        </w:rPr>
      </w:pPr>
      <w:r>
        <w:rPr>
          <w:rFonts w:eastAsia="仿宋_GB2312"/>
          <w:sz w:val="32"/>
          <w:szCs w:val="32"/>
        </w:rPr>
        <w:t>四、财政拨款收入支出决算总体情况说明</w:t>
      </w:r>
    </w:p>
    <w:p w14:paraId="2B489483">
      <w:pPr>
        <w:pStyle w:val="13"/>
        <w:adjustRightInd w:val="0"/>
        <w:snapToGrid w:val="0"/>
        <w:spacing w:line="560" w:lineRule="exact"/>
        <w:jc w:val="left"/>
        <w:rPr>
          <w:rFonts w:eastAsia="仿宋_GB2312"/>
          <w:sz w:val="32"/>
          <w:szCs w:val="32"/>
        </w:rPr>
      </w:pPr>
      <w:r>
        <w:rPr>
          <w:rFonts w:eastAsia="仿宋_GB2312"/>
          <w:sz w:val="32"/>
          <w:szCs w:val="32"/>
        </w:rPr>
        <w:t>五、一般公共预算财政拨款支出决算情况说明</w:t>
      </w:r>
    </w:p>
    <w:p w14:paraId="0B262F31">
      <w:pPr>
        <w:pStyle w:val="13"/>
        <w:adjustRightInd w:val="0"/>
        <w:snapToGrid w:val="0"/>
        <w:spacing w:line="560" w:lineRule="exact"/>
        <w:jc w:val="left"/>
        <w:rPr>
          <w:rFonts w:eastAsia="仿宋_GB2312"/>
          <w:sz w:val="32"/>
          <w:szCs w:val="32"/>
        </w:rPr>
      </w:pPr>
      <w:r>
        <w:rPr>
          <w:rFonts w:eastAsia="仿宋_GB2312"/>
          <w:sz w:val="32"/>
          <w:szCs w:val="32"/>
        </w:rPr>
        <w:t>六、一般公共预算财政拨款基本支出决算情况说明</w:t>
      </w:r>
    </w:p>
    <w:p w14:paraId="63B74F86">
      <w:pPr>
        <w:pStyle w:val="13"/>
        <w:adjustRightInd w:val="0"/>
        <w:snapToGrid w:val="0"/>
        <w:spacing w:line="560" w:lineRule="exact"/>
        <w:jc w:val="left"/>
        <w:rPr>
          <w:rFonts w:eastAsia="仿宋_GB2312"/>
          <w:sz w:val="32"/>
          <w:szCs w:val="32"/>
        </w:rPr>
      </w:pPr>
      <w:r>
        <w:rPr>
          <w:rFonts w:eastAsia="仿宋_GB2312"/>
          <w:sz w:val="32"/>
          <w:szCs w:val="32"/>
        </w:rPr>
        <w:t>七、</w:t>
      </w:r>
      <w:r>
        <w:rPr>
          <w:rFonts w:hint="eastAsia" w:eastAsia="仿宋_GB2312"/>
          <w:sz w:val="32"/>
          <w:szCs w:val="32"/>
          <w:lang w:val="en-US" w:eastAsia="zh-CN"/>
        </w:rPr>
        <w:t>财政拨款</w:t>
      </w:r>
      <w:r>
        <w:rPr>
          <w:rFonts w:eastAsia="仿宋_GB2312"/>
          <w:sz w:val="32"/>
          <w:szCs w:val="32"/>
        </w:rPr>
        <w:t>“三公”经费支出决算情况说明</w:t>
      </w:r>
    </w:p>
    <w:p w14:paraId="79F449CD">
      <w:pPr>
        <w:pStyle w:val="13"/>
        <w:adjustRightInd w:val="0"/>
        <w:snapToGrid w:val="0"/>
        <w:spacing w:line="560" w:lineRule="exact"/>
        <w:jc w:val="left"/>
        <w:rPr>
          <w:rFonts w:eastAsia="仿宋_GB2312"/>
          <w:sz w:val="32"/>
          <w:szCs w:val="32"/>
        </w:rPr>
      </w:pPr>
      <w:r>
        <w:rPr>
          <w:rFonts w:eastAsia="仿宋_GB2312"/>
          <w:sz w:val="32"/>
          <w:szCs w:val="32"/>
        </w:rPr>
        <w:t>八、政府性基金预算支出决算情况说明</w:t>
      </w:r>
    </w:p>
    <w:p w14:paraId="367A7A29">
      <w:pPr>
        <w:pStyle w:val="13"/>
        <w:adjustRightInd w:val="0"/>
        <w:snapToGrid w:val="0"/>
        <w:spacing w:line="560" w:lineRule="exact"/>
        <w:ind w:leftChars="0"/>
        <w:jc w:val="left"/>
        <w:rPr>
          <w:rFonts w:eastAsia="仿宋_GB2312"/>
          <w:sz w:val="32"/>
          <w:szCs w:val="32"/>
        </w:rPr>
      </w:pPr>
      <w:r>
        <w:rPr>
          <w:rFonts w:eastAsia="仿宋_GB2312"/>
          <w:sz w:val="32"/>
          <w:szCs w:val="32"/>
        </w:rPr>
        <w:t>九、国有资本经营预算支出决算情况说明</w:t>
      </w:r>
    </w:p>
    <w:p w14:paraId="2227521D">
      <w:pPr>
        <w:keepNext w:val="0"/>
        <w:keepLines w:val="0"/>
        <w:pageBreakBefore w:val="0"/>
        <w:widowControl w:val="0"/>
        <w:kinsoku/>
        <w:wordWrap/>
        <w:overflowPunct/>
        <w:topLinePunct w:val="0"/>
        <w:autoSpaceDE/>
        <w:autoSpaceDN/>
        <w:bidi w:val="0"/>
        <w:adjustRightInd w:val="0"/>
        <w:snapToGrid w:val="0"/>
        <w:spacing w:line="560" w:lineRule="exact"/>
        <w:ind w:left="155" w:leftChars="74" w:firstLine="320" w:firstLineChars="100"/>
        <w:jc w:val="left"/>
        <w:textAlignment w:val="auto"/>
        <w:rPr>
          <w:rFonts w:eastAsia="仿宋_GB2312"/>
          <w:sz w:val="32"/>
          <w:szCs w:val="32"/>
        </w:rPr>
      </w:pPr>
      <w:r>
        <w:rPr>
          <w:rStyle w:val="22"/>
          <w:rFonts w:eastAsia="仿宋_GB2312"/>
          <w:color w:val="auto"/>
          <w:sz w:val="32"/>
          <w:szCs w:val="32"/>
          <w:u w:val="none"/>
        </w:rPr>
        <w:t>十、</w:t>
      </w:r>
      <w:r>
        <w:rPr>
          <w:rFonts w:eastAsia="仿宋_GB2312"/>
          <w:sz w:val="32"/>
          <w:szCs w:val="32"/>
        </w:rPr>
        <w:t>其他重要事项的情况说明</w:t>
      </w:r>
      <w:r>
        <w:rPr>
          <w:rFonts w:eastAsia="仿宋_GB2312"/>
          <w:sz w:val="32"/>
          <w:szCs w:val="32"/>
        </w:rPr>
        <w:tab/>
      </w:r>
    </w:p>
    <w:p w14:paraId="5A7FE4DB">
      <w:pPr>
        <w:pStyle w:val="11"/>
        <w:adjustRightInd w:val="0"/>
        <w:snapToGrid w:val="0"/>
        <w:spacing w:before="0" w:line="560" w:lineRule="exact"/>
        <w:jc w:val="left"/>
        <w:rPr>
          <w:rFonts w:ascii="Times New Roman" w:hAnsi="Times New Roman" w:eastAsia="仿宋_GB2312"/>
          <w:b/>
          <w:bCs/>
          <w:sz w:val="32"/>
          <w:szCs w:val="32"/>
        </w:rPr>
      </w:pPr>
      <w:r>
        <w:rPr>
          <w:rFonts w:ascii="Times New Roman" w:hAnsi="Times New Roman" w:eastAsia="仿宋_GB2312"/>
          <w:b/>
          <w:bCs/>
          <w:sz w:val="32"/>
          <w:szCs w:val="32"/>
        </w:rPr>
        <w:t>第三部分 名词解释</w:t>
      </w:r>
    </w:p>
    <w:p w14:paraId="6CC8FBBF">
      <w:pPr>
        <w:pStyle w:val="11"/>
        <w:adjustRightInd w:val="0"/>
        <w:snapToGrid w:val="0"/>
        <w:spacing w:before="0" w:line="560" w:lineRule="exact"/>
        <w:jc w:val="left"/>
        <w:rPr>
          <w:rFonts w:ascii="Times New Roman" w:hAnsi="Times New Roman" w:eastAsia="仿宋_GB2312"/>
          <w:b/>
          <w:bCs/>
          <w:sz w:val="32"/>
          <w:szCs w:val="32"/>
        </w:rPr>
      </w:pPr>
      <w:r>
        <w:rPr>
          <w:rFonts w:ascii="Times New Roman" w:hAnsi="Times New Roman" w:eastAsia="仿宋_GB2312"/>
          <w:b/>
          <w:bCs/>
          <w:sz w:val="32"/>
          <w:szCs w:val="32"/>
        </w:rPr>
        <w:t>第四部分 附件</w:t>
      </w:r>
    </w:p>
    <w:p w14:paraId="0364A673">
      <w:pPr>
        <w:pStyle w:val="11"/>
        <w:adjustRightInd w:val="0"/>
        <w:snapToGrid w:val="0"/>
        <w:spacing w:before="0" w:line="560" w:lineRule="exact"/>
        <w:jc w:val="left"/>
        <w:rPr>
          <w:rFonts w:ascii="Times New Roman" w:hAnsi="Times New Roman" w:eastAsia="仿宋_GB2312"/>
          <w:b/>
          <w:bCs/>
          <w:sz w:val="32"/>
          <w:szCs w:val="32"/>
        </w:rPr>
      </w:pPr>
      <w:r>
        <w:rPr>
          <w:rFonts w:ascii="Times New Roman" w:hAnsi="Times New Roman" w:eastAsia="仿宋_GB2312"/>
          <w:b/>
          <w:bCs/>
          <w:sz w:val="32"/>
          <w:szCs w:val="32"/>
        </w:rPr>
        <w:t>第五部分 附表</w:t>
      </w:r>
    </w:p>
    <w:p w14:paraId="4DA58DDB">
      <w:pPr>
        <w:pStyle w:val="13"/>
        <w:adjustRightInd w:val="0"/>
        <w:snapToGrid w:val="0"/>
        <w:spacing w:line="560" w:lineRule="exact"/>
        <w:jc w:val="left"/>
        <w:rPr>
          <w:rFonts w:eastAsia="仿宋_GB2312"/>
          <w:sz w:val="32"/>
          <w:szCs w:val="32"/>
        </w:rPr>
      </w:pPr>
      <w:r>
        <w:rPr>
          <w:rFonts w:eastAsia="仿宋_GB2312"/>
          <w:sz w:val="32"/>
          <w:szCs w:val="32"/>
        </w:rPr>
        <w:t>一、收入支出决算总表</w:t>
      </w:r>
    </w:p>
    <w:p w14:paraId="24BD5E87">
      <w:pPr>
        <w:pStyle w:val="13"/>
        <w:adjustRightInd w:val="0"/>
        <w:snapToGrid w:val="0"/>
        <w:spacing w:line="560" w:lineRule="exact"/>
        <w:jc w:val="left"/>
        <w:rPr>
          <w:rFonts w:eastAsia="仿宋_GB2312"/>
          <w:sz w:val="32"/>
          <w:szCs w:val="32"/>
        </w:rPr>
      </w:pPr>
      <w:r>
        <w:rPr>
          <w:rFonts w:eastAsia="仿宋_GB2312"/>
          <w:sz w:val="32"/>
          <w:szCs w:val="32"/>
        </w:rPr>
        <w:t>二、收入决算表</w:t>
      </w:r>
    </w:p>
    <w:p w14:paraId="592BC02C">
      <w:pPr>
        <w:pStyle w:val="13"/>
        <w:adjustRightInd w:val="0"/>
        <w:snapToGrid w:val="0"/>
        <w:spacing w:line="560" w:lineRule="exact"/>
        <w:jc w:val="left"/>
        <w:rPr>
          <w:rFonts w:eastAsia="仿宋_GB2312"/>
          <w:sz w:val="32"/>
          <w:szCs w:val="32"/>
        </w:rPr>
      </w:pPr>
      <w:r>
        <w:rPr>
          <w:rFonts w:eastAsia="仿宋_GB2312"/>
          <w:sz w:val="32"/>
          <w:szCs w:val="32"/>
        </w:rPr>
        <w:t>三、支出决算表</w:t>
      </w:r>
    </w:p>
    <w:p w14:paraId="61A62622">
      <w:pPr>
        <w:pStyle w:val="13"/>
        <w:adjustRightInd w:val="0"/>
        <w:snapToGrid w:val="0"/>
        <w:spacing w:line="560" w:lineRule="exact"/>
        <w:jc w:val="left"/>
        <w:rPr>
          <w:rFonts w:eastAsia="仿宋_GB2312"/>
          <w:sz w:val="32"/>
          <w:szCs w:val="32"/>
        </w:rPr>
      </w:pPr>
      <w:r>
        <w:rPr>
          <w:rFonts w:eastAsia="仿宋_GB2312"/>
          <w:sz w:val="32"/>
          <w:szCs w:val="32"/>
        </w:rPr>
        <w:t>四、财政拨款收入支出决算总表</w:t>
      </w:r>
    </w:p>
    <w:p w14:paraId="4DFF1B98">
      <w:pPr>
        <w:pStyle w:val="13"/>
        <w:adjustRightInd w:val="0"/>
        <w:snapToGrid w:val="0"/>
        <w:spacing w:line="560" w:lineRule="exact"/>
        <w:jc w:val="left"/>
        <w:rPr>
          <w:rFonts w:eastAsia="仿宋_GB2312"/>
          <w:sz w:val="32"/>
          <w:szCs w:val="32"/>
        </w:rPr>
      </w:pPr>
      <w:r>
        <w:rPr>
          <w:rFonts w:eastAsia="仿宋_GB2312"/>
          <w:sz w:val="32"/>
          <w:szCs w:val="32"/>
        </w:rPr>
        <w:t>五、财政拨款支出决算明细表</w:t>
      </w:r>
    </w:p>
    <w:p w14:paraId="1468843D">
      <w:pPr>
        <w:pStyle w:val="13"/>
        <w:adjustRightInd w:val="0"/>
        <w:snapToGrid w:val="0"/>
        <w:spacing w:line="560" w:lineRule="exact"/>
        <w:jc w:val="left"/>
        <w:rPr>
          <w:rFonts w:eastAsia="仿宋_GB2312"/>
          <w:sz w:val="32"/>
          <w:szCs w:val="32"/>
        </w:rPr>
      </w:pPr>
      <w:r>
        <w:rPr>
          <w:rFonts w:eastAsia="仿宋_GB2312"/>
          <w:sz w:val="32"/>
          <w:szCs w:val="32"/>
        </w:rPr>
        <w:t>六、一般公共预算财政拨款支出决算表</w:t>
      </w:r>
    </w:p>
    <w:p w14:paraId="27EBB63B">
      <w:pPr>
        <w:pStyle w:val="13"/>
        <w:adjustRightInd w:val="0"/>
        <w:snapToGrid w:val="0"/>
        <w:spacing w:line="560" w:lineRule="exact"/>
        <w:jc w:val="left"/>
        <w:rPr>
          <w:rFonts w:eastAsia="仿宋_GB2312"/>
          <w:sz w:val="32"/>
          <w:szCs w:val="32"/>
        </w:rPr>
      </w:pPr>
      <w:r>
        <w:rPr>
          <w:rFonts w:eastAsia="仿宋_GB2312"/>
          <w:sz w:val="32"/>
          <w:szCs w:val="32"/>
        </w:rPr>
        <w:t>七、一般公共预算财政拨款支出决算明细表</w:t>
      </w:r>
    </w:p>
    <w:p w14:paraId="0DB071A8">
      <w:pPr>
        <w:pStyle w:val="13"/>
        <w:adjustRightInd w:val="0"/>
        <w:snapToGrid w:val="0"/>
        <w:spacing w:line="560" w:lineRule="exact"/>
        <w:jc w:val="left"/>
        <w:rPr>
          <w:rFonts w:eastAsia="仿宋_GB2312"/>
          <w:sz w:val="32"/>
          <w:szCs w:val="32"/>
        </w:rPr>
      </w:pPr>
      <w:r>
        <w:rPr>
          <w:rFonts w:eastAsia="仿宋_GB2312"/>
          <w:sz w:val="32"/>
          <w:szCs w:val="32"/>
        </w:rPr>
        <w:t>八、一般公共预算财政拨款基本支出决算表</w:t>
      </w:r>
    </w:p>
    <w:p w14:paraId="1149413B">
      <w:pPr>
        <w:pStyle w:val="13"/>
        <w:adjustRightInd w:val="0"/>
        <w:snapToGrid w:val="0"/>
        <w:spacing w:line="560" w:lineRule="exact"/>
        <w:jc w:val="left"/>
        <w:rPr>
          <w:rFonts w:eastAsia="仿宋_GB2312"/>
          <w:sz w:val="32"/>
          <w:szCs w:val="32"/>
        </w:rPr>
      </w:pPr>
      <w:r>
        <w:rPr>
          <w:rFonts w:eastAsia="仿宋_GB2312"/>
          <w:sz w:val="32"/>
          <w:szCs w:val="32"/>
        </w:rPr>
        <w:t>九、一般公共预算财政拨款项目支出决算表</w:t>
      </w:r>
    </w:p>
    <w:p w14:paraId="218E11E0">
      <w:pPr>
        <w:pStyle w:val="13"/>
        <w:adjustRightInd w:val="0"/>
        <w:snapToGrid w:val="0"/>
        <w:spacing w:line="560" w:lineRule="exact"/>
        <w:jc w:val="left"/>
        <w:rPr>
          <w:rFonts w:eastAsia="仿宋_GB2312"/>
          <w:sz w:val="32"/>
          <w:szCs w:val="32"/>
        </w:rPr>
      </w:pPr>
      <w:r>
        <w:rPr>
          <w:rFonts w:eastAsia="仿宋_GB2312"/>
          <w:sz w:val="32"/>
          <w:szCs w:val="32"/>
        </w:rPr>
        <w:t>十、政府性基金预算财政拨款收入支出决算表</w:t>
      </w:r>
    </w:p>
    <w:p w14:paraId="7274710A">
      <w:pPr>
        <w:pStyle w:val="13"/>
        <w:adjustRightInd w:val="0"/>
        <w:snapToGrid w:val="0"/>
        <w:spacing w:line="560" w:lineRule="exact"/>
        <w:jc w:val="left"/>
        <w:rPr>
          <w:rFonts w:eastAsia="仿宋_GB2312"/>
          <w:sz w:val="32"/>
          <w:szCs w:val="32"/>
        </w:rPr>
      </w:pPr>
      <w:r>
        <w:rPr>
          <w:rFonts w:eastAsia="仿宋_GB2312"/>
          <w:sz w:val="32"/>
          <w:szCs w:val="32"/>
        </w:rPr>
        <w:t>十</w:t>
      </w:r>
      <w:r>
        <w:rPr>
          <w:rFonts w:hint="eastAsia" w:eastAsia="仿宋_GB2312"/>
          <w:sz w:val="32"/>
          <w:szCs w:val="32"/>
          <w:lang w:val="en-US" w:eastAsia="zh-CN"/>
        </w:rPr>
        <w:t>一</w:t>
      </w:r>
      <w:r>
        <w:rPr>
          <w:rFonts w:eastAsia="仿宋_GB2312"/>
          <w:sz w:val="32"/>
          <w:szCs w:val="32"/>
        </w:rPr>
        <w:t>、国有资本经营预算财政拨款收入支出决算表</w:t>
      </w:r>
    </w:p>
    <w:p w14:paraId="78FFF44E">
      <w:pPr>
        <w:pStyle w:val="13"/>
        <w:adjustRightInd w:val="0"/>
        <w:snapToGrid w:val="0"/>
        <w:spacing w:line="560" w:lineRule="exact"/>
        <w:jc w:val="left"/>
        <w:rPr>
          <w:rFonts w:eastAsia="仿宋_GB2312"/>
          <w:sz w:val="32"/>
          <w:szCs w:val="32"/>
        </w:rPr>
      </w:pPr>
      <w:r>
        <w:rPr>
          <w:rFonts w:eastAsia="仿宋_GB2312"/>
          <w:sz w:val="32"/>
          <w:szCs w:val="32"/>
        </w:rPr>
        <w:t>十</w:t>
      </w:r>
      <w:r>
        <w:rPr>
          <w:rFonts w:hint="eastAsia" w:eastAsia="仿宋_GB2312"/>
          <w:sz w:val="32"/>
          <w:szCs w:val="32"/>
          <w:lang w:val="en-US" w:eastAsia="zh-CN"/>
        </w:rPr>
        <w:t>二</w:t>
      </w:r>
      <w:r>
        <w:rPr>
          <w:rFonts w:eastAsia="仿宋_GB2312"/>
          <w:sz w:val="32"/>
          <w:szCs w:val="32"/>
        </w:rPr>
        <w:t>、国有资本经营预算财政拨款支出决算表</w:t>
      </w:r>
    </w:p>
    <w:p w14:paraId="37123CD4">
      <w:pPr>
        <w:pStyle w:val="13"/>
        <w:adjustRightInd w:val="0"/>
        <w:snapToGrid w:val="0"/>
        <w:spacing w:line="560" w:lineRule="exact"/>
        <w:jc w:val="left"/>
        <w:rPr>
          <w:rFonts w:eastAsia="仿宋_GB2312"/>
          <w:sz w:val="32"/>
          <w:szCs w:val="32"/>
        </w:rPr>
      </w:pPr>
      <w:r>
        <w:rPr>
          <w:rFonts w:eastAsia="仿宋_GB2312"/>
          <w:sz w:val="32"/>
          <w:szCs w:val="32"/>
        </w:rPr>
        <w:t>十</w:t>
      </w:r>
      <w:r>
        <w:rPr>
          <w:rFonts w:hint="eastAsia" w:eastAsia="仿宋_GB2312"/>
          <w:sz w:val="32"/>
          <w:szCs w:val="32"/>
          <w:lang w:val="en-US" w:eastAsia="zh-CN"/>
        </w:rPr>
        <w:t>三</w:t>
      </w:r>
      <w:r>
        <w:rPr>
          <w:rFonts w:eastAsia="仿宋_GB2312"/>
          <w:sz w:val="32"/>
          <w:szCs w:val="32"/>
        </w:rPr>
        <w:t>、财政拨款“三公”经费支出决算表</w:t>
      </w:r>
    </w:p>
    <w:p w14:paraId="6E708C37">
      <w:pPr>
        <w:pStyle w:val="9"/>
        <w:rPr>
          <w:rFonts w:hint="default"/>
          <w:lang w:val="en-US" w:eastAsia="zh-CN"/>
        </w:rPr>
      </w:pPr>
    </w:p>
    <w:p w14:paraId="6EE1042C">
      <w:pPr>
        <w:pStyle w:val="9"/>
        <w:rPr>
          <w:rFonts w:hint="default"/>
          <w:lang w:val="en-US" w:eastAsia="zh-CN"/>
        </w:rPr>
      </w:pPr>
    </w:p>
    <w:p w14:paraId="285FB2BC">
      <w:pPr>
        <w:pStyle w:val="9"/>
        <w:rPr>
          <w:rFonts w:hint="default"/>
          <w:lang w:val="en-US" w:eastAsia="zh-CN"/>
        </w:rPr>
      </w:pPr>
    </w:p>
    <w:p w14:paraId="0F143BAA">
      <w:pPr>
        <w:pStyle w:val="9"/>
        <w:rPr>
          <w:rFonts w:hint="default"/>
          <w:lang w:val="en-US" w:eastAsia="zh-CN"/>
        </w:rPr>
      </w:pPr>
    </w:p>
    <w:p w14:paraId="590CAD9F">
      <w:pPr>
        <w:pStyle w:val="9"/>
        <w:rPr>
          <w:rFonts w:hint="default"/>
          <w:lang w:val="en-US" w:eastAsia="zh-CN"/>
        </w:rPr>
      </w:pPr>
    </w:p>
    <w:p w14:paraId="22D4B902">
      <w:pPr>
        <w:pStyle w:val="9"/>
        <w:rPr>
          <w:rFonts w:hint="default"/>
          <w:lang w:val="en-US" w:eastAsia="zh-CN"/>
        </w:rPr>
      </w:pPr>
    </w:p>
    <w:p w14:paraId="10717560">
      <w:pPr>
        <w:pStyle w:val="9"/>
        <w:rPr>
          <w:rFonts w:hint="default"/>
          <w:lang w:val="en-US" w:eastAsia="zh-CN"/>
        </w:rPr>
      </w:pPr>
    </w:p>
    <w:p w14:paraId="1B89DEB7">
      <w:pPr>
        <w:pStyle w:val="9"/>
        <w:rPr>
          <w:rFonts w:hint="default"/>
          <w:lang w:val="en-US" w:eastAsia="zh-CN"/>
        </w:rPr>
      </w:pPr>
    </w:p>
    <w:p w14:paraId="66BBB3CE">
      <w:pPr>
        <w:pStyle w:val="9"/>
        <w:rPr>
          <w:rFonts w:hint="default"/>
          <w:lang w:val="en-US" w:eastAsia="zh-CN"/>
        </w:rPr>
      </w:pPr>
    </w:p>
    <w:p w14:paraId="71F7F1ED">
      <w:pPr>
        <w:pStyle w:val="9"/>
        <w:rPr>
          <w:rFonts w:hint="default"/>
          <w:lang w:val="en-US" w:eastAsia="zh-CN"/>
        </w:rPr>
      </w:pPr>
    </w:p>
    <w:p w14:paraId="3CED2451">
      <w:pPr>
        <w:pStyle w:val="9"/>
        <w:rPr>
          <w:rFonts w:hint="default"/>
          <w:lang w:val="en-US" w:eastAsia="zh-CN"/>
        </w:rPr>
      </w:pPr>
    </w:p>
    <w:p w14:paraId="78DBFFE9">
      <w:pPr>
        <w:pStyle w:val="9"/>
        <w:rPr>
          <w:rFonts w:hint="default"/>
          <w:lang w:val="en-US" w:eastAsia="zh-CN"/>
        </w:rPr>
      </w:pPr>
    </w:p>
    <w:p w14:paraId="1F72DF62">
      <w:pPr>
        <w:pStyle w:val="9"/>
        <w:rPr>
          <w:rFonts w:hint="default"/>
          <w:lang w:val="en-US" w:eastAsia="zh-CN"/>
        </w:rPr>
      </w:pPr>
    </w:p>
    <w:p w14:paraId="52C19767">
      <w:pPr>
        <w:pStyle w:val="9"/>
        <w:rPr>
          <w:rFonts w:hint="default"/>
          <w:lang w:val="en-US" w:eastAsia="zh-CN"/>
        </w:rPr>
      </w:pPr>
    </w:p>
    <w:p w14:paraId="2CBC2A28">
      <w:pPr>
        <w:pStyle w:val="9"/>
        <w:rPr>
          <w:rFonts w:hint="default"/>
          <w:lang w:val="en-US" w:eastAsia="zh-CN"/>
        </w:rPr>
      </w:pPr>
    </w:p>
    <w:p w14:paraId="2BF9CD1B">
      <w:pPr>
        <w:pStyle w:val="9"/>
        <w:rPr>
          <w:rFonts w:hint="default"/>
          <w:lang w:val="en-US" w:eastAsia="zh-CN"/>
        </w:rPr>
      </w:pPr>
    </w:p>
    <w:p w14:paraId="6BC65CE0">
      <w:pPr>
        <w:pStyle w:val="9"/>
        <w:rPr>
          <w:rFonts w:hint="default"/>
          <w:lang w:val="en-US" w:eastAsia="zh-CN"/>
        </w:rPr>
      </w:pPr>
    </w:p>
    <w:p w14:paraId="3A498CFC">
      <w:pPr>
        <w:pStyle w:val="9"/>
        <w:rPr>
          <w:rFonts w:hint="default"/>
          <w:lang w:val="en-US" w:eastAsia="zh-CN"/>
        </w:rPr>
      </w:pPr>
    </w:p>
    <w:p w14:paraId="0DC346B7">
      <w:pPr>
        <w:pStyle w:val="9"/>
        <w:rPr>
          <w:rFonts w:hint="default"/>
          <w:lang w:val="en-US" w:eastAsia="zh-CN"/>
        </w:rPr>
      </w:pPr>
    </w:p>
    <w:p w14:paraId="30F070C2">
      <w:pPr>
        <w:pStyle w:val="9"/>
        <w:rPr>
          <w:rFonts w:hint="default"/>
          <w:lang w:val="en-US" w:eastAsia="zh-CN"/>
        </w:rPr>
      </w:pPr>
    </w:p>
    <w:p w14:paraId="385898E5">
      <w:pPr>
        <w:pStyle w:val="9"/>
        <w:rPr>
          <w:rFonts w:hint="default"/>
          <w:lang w:val="en-US" w:eastAsia="zh-CN"/>
        </w:rPr>
      </w:pPr>
    </w:p>
    <w:p w14:paraId="57DFEE26">
      <w:pPr>
        <w:pStyle w:val="9"/>
        <w:rPr>
          <w:rFonts w:hint="default"/>
          <w:lang w:val="en-US" w:eastAsia="zh-CN"/>
        </w:rPr>
      </w:pPr>
    </w:p>
    <w:p w14:paraId="1BD402CC">
      <w:pPr>
        <w:pStyle w:val="9"/>
        <w:rPr>
          <w:rFonts w:hint="default"/>
          <w:lang w:val="en-US" w:eastAsia="zh-CN"/>
        </w:rPr>
      </w:pPr>
    </w:p>
    <w:p w14:paraId="78D20337">
      <w:pPr>
        <w:pStyle w:val="9"/>
        <w:rPr>
          <w:rFonts w:hint="default"/>
          <w:lang w:val="en-US" w:eastAsia="zh-CN"/>
        </w:rPr>
      </w:pPr>
    </w:p>
    <w:p w14:paraId="128764B8">
      <w:pPr>
        <w:pStyle w:val="9"/>
        <w:rPr>
          <w:rFonts w:hint="default"/>
          <w:lang w:val="en-US" w:eastAsia="zh-CN"/>
        </w:rPr>
      </w:pPr>
    </w:p>
    <w:p w14:paraId="7AF0A0A4">
      <w:pPr>
        <w:pStyle w:val="9"/>
        <w:rPr>
          <w:rFonts w:hint="default"/>
          <w:lang w:val="en-US" w:eastAsia="zh-CN"/>
        </w:rPr>
      </w:pPr>
    </w:p>
    <w:p w14:paraId="531C4329">
      <w:pPr>
        <w:pStyle w:val="9"/>
        <w:rPr>
          <w:rFonts w:hint="default"/>
          <w:lang w:val="en-US" w:eastAsia="zh-CN"/>
        </w:rPr>
      </w:pPr>
    </w:p>
    <w:p w14:paraId="740C023C">
      <w:pPr>
        <w:pStyle w:val="9"/>
        <w:rPr>
          <w:rFonts w:hint="default"/>
          <w:lang w:val="en-US" w:eastAsia="zh-CN"/>
        </w:rPr>
      </w:pPr>
    </w:p>
    <w:p w14:paraId="37E0EFEF">
      <w:pPr>
        <w:pStyle w:val="9"/>
        <w:rPr>
          <w:rFonts w:hint="default"/>
          <w:lang w:val="en-US" w:eastAsia="zh-CN"/>
        </w:rPr>
      </w:pPr>
    </w:p>
    <w:p w14:paraId="1E3EBB9D">
      <w:pPr>
        <w:pStyle w:val="9"/>
        <w:rPr>
          <w:rFonts w:hint="default"/>
          <w:lang w:val="en-US" w:eastAsia="zh-CN"/>
        </w:rPr>
      </w:pPr>
    </w:p>
    <w:p w14:paraId="22A05D33">
      <w:pPr>
        <w:pStyle w:val="9"/>
        <w:rPr>
          <w:rFonts w:hint="default"/>
          <w:lang w:val="en-US" w:eastAsia="zh-CN"/>
        </w:rPr>
      </w:pPr>
    </w:p>
    <w:p w14:paraId="5E22CC0D">
      <w:pPr>
        <w:pStyle w:val="9"/>
        <w:rPr>
          <w:rFonts w:hint="default"/>
          <w:lang w:val="en-US" w:eastAsia="zh-CN"/>
        </w:rPr>
      </w:pPr>
    </w:p>
    <w:p w14:paraId="31AAF137">
      <w:pPr>
        <w:pStyle w:val="9"/>
        <w:rPr>
          <w:rFonts w:hint="default"/>
          <w:lang w:val="en-US" w:eastAsia="zh-CN"/>
        </w:rPr>
      </w:pPr>
    </w:p>
    <w:p w14:paraId="299E955F">
      <w:pPr>
        <w:pStyle w:val="9"/>
        <w:rPr>
          <w:rFonts w:hint="default"/>
          <w:lang w:val="en-US" w:eastAsia="zh-CN"/>
        </w:rPr>
      </w:pPr>
    </w:p>
    <w:p w14:paraId="5EADBD91">
      <w:pPr>
        <w:pStyle w:val="9"/>
        <w:rPr>
          <w:rFonts w:hint="default"/>
          <w:lang w:val="en-US" w:eastAsia="zh-CN"/>
        </w:rPr>
      </w:pPr>
    </w:p>
    <w:p w14:paraId="10B50739">
      <w:pPr>
        <w:pStyle w:val="9"/>
        <w:rPr>
          <w:rFonts w:hint="default"/>
          <w:lang w:val="en-US" w:eastAsia="zh-CN"/>
        </w:rPr>
      </w:pPr>
    </w:p>
    <w:p w14:paraId="6A5089A5">
      <w:pPr>
        <w:pStyle w:val="9"/>
        <w:rPr>
          <w:rFonts w:hint="default"/>
          <w:lang w:val="en-US" w:eastAsia="zh-CN"/>
        </w:rPr>
      </w:pPr>
    </w:p>
    <w:p w14:paraId="5636FB39">
      <w:pPr>
        <w:pStyle w:val="9"/>
        <w:rPr>
          <w:rFonts w:hint="default"/>
          <w:lang w:val="en-US" w:eastAsia="zh-CN"/>
        </w:rPr>
      </w:pPr>
    </w:p>
    <w:p w14:paraId="60778F75">
      <w:pPr>
        <w:pStyle w:val="9"/>
        <w:rPr>
          <w:rFonts w:hint="default"/>
          <w:lang w:val="en-US" w:eastAsia="zh-CN"/>
        </w:rPr>
      </w:pPr>
    </w:p>
    <w:p w14:paraId="0AB9A6B4">
      <w:pPr>
        <w:pStyle w:val="9"/>
        <w:rPr>
          <w:rFonts w:hint="default"/>
          <w:lang w:val="en-US" w:eastAsia="zh-CN"/>
        </w:rPr>
      </w:pPr>
    </w:p>
    <w:p w14:paraId="5BC401B4">
      <w:pPr>
        <w:pStyle w:val="2"/>
        <w:pageBreakBefore w:val="0"/>
        <w:kinsoku/>
        <w:wordWrap/>
        <w:overflowPunct/>
        <w:topLinePunct w:val="0"/>
        <w:autoSpaceDE/>
        <w:autoSpaceDN/>
        <w:bidi w:val="0"/>
        <w:adjustRightInd w:val="0"/>
        <w:snapToGrid w:val="0"/>
        <w:spacing w:beforeLines="0" w:line="560" w:lineRule="exact"/>
        <w:jc w:val="center"/>
        <w:textAlignment w:val="auto"/>
        <w:outlineLvl w:val="2"/>
        <w:rPr>
          <w:rFonts w:ascii="方正小标宋简体" w:hAnsi="方正小标宋简体" w:eastAsia="方正小标宋简体" w:cs="方正小标宋简体"/>
          <w:bCs/>
          <w:sz w:val="44"/>
          <w:szCs w:val="44"/>
        </w:rPr>
      </w:pPr>
      <w:bookmarkStart w:id="11" w:name="_Toc15396600"/>
      <w:bookmarkStart w:id="12" w:name="_Toc15377197"/>
      <w:r>
        <w:rPr>
          <w:rFonts w:hint="eastAsia" w:ascii="方正小标宋简体" w:hAnsi="方正小标宋简体" w:eastAsia="方正小标宋简体" w:cs="方正小标宋简体"/>
          <w:bCs/>
          <w:sz w:val="44"/>
          <w:szCs w:val="44"/>
        </w:rPr>
        <w:t xml:space="preserve">第一部分 </w:t>
      </w:r>
      <w:r>
        <w:rPr>
          <w:rFonts w:hint="eastAsia" w:ascii="方正小标宋简体" w:hAnsi="方正小标宋简体" w:eastAsia="方正小标宋简体" w:cs="方正小标宋简体"/>
          <w:bCs/>
          <w:color w:val="000000"/>
          <w:sz w:val="44"/>
          <w:szCs w:val="44"/>
        </w:rPr>
        <w:t>单位</w:t>
      </w:r>
      <w:r>
        <w:rPr>
          <w:rFonts w:hint="eastAsia" w:ascii="方正小标宋简体" w:hAnsi="方正小标宋简体" w:eastAsia="方正小标宋简体" w:cs="方正小标宋简体"/>
          <w:bCs/>
          <w:sz w:val="44"/>
          <w:szCs w:val="44"/>
        </w:rPr>
        <w:t>概况</w:t>
      </w:r>
    </w:p>
    <w:p w14:paraId="662A3DD1">
      <w:pPr>
        <w:pStyle w:val="2"/>
        <w:pageBreakBefore w:val="0"/>
        <w:kinsoku/>
        <w:wordWrap/>
        <w:overflowPunct/>
        <w:topLinePunct w:val="0"/>
        <w:autoSpaceDE/>
        <w:autoSpaceDN/>
        <w:bidi w:val="0"/>
        <w:adjustRightInd w:val="0"/>
        <w:snapToGrid w:val="0"/>
        <w:spacing w:beforeLines="0" w:line="560" w:lineRule="exact"/>
        <w:ind w:firstLine="672" w:firstLineChars="210"/>
        <w:textAlignment w:val="auto"/>
        <w:outlineLvl w:val="2"/>
        <w:rPr>
          <w:rFonts w:ascii="黑体" w:hAnsi="黑体" w:eastAsia="黑体" w:cs="黑体"/>
          <w:bCs/>
          <w:sz w:val="32"/>
          <w:szCs w:val="32"/>
        </w:rPr>
      </w:pPr>
    </w:p>
    <w:p w14:paraId="280E1EFB">
      <w:pPr>
        <w:pStyle w:val="2"/>
        <w:pageBreakBefore w:val="0"/>
        <w:kinsoku/>
        <w:wordWrap/>
        <w:overflowPunct/>
        <w:topLinePunct w:val="0"/>
        <w:autoSpaceDE/>
        <w:autoSpaceDN/>
        <w:bidi w:val="0"/>
        <w:adjustRightInd w:val="0"/>
        <w:snapToGrid w:val="0"/>
        <w:spacing w:beforeLines="0" w:line="560" w:lineRule="exact"/>
        <w:ind w:firstLine="672" w:firstLineChars="210"/>
        <w:textAlignment w:val="auto"/>
        <w:outlineLvl w:val="2"/>
        <w:rPr>
          <w:rFonts w:hint="default" w:ascii="楷体_GB2312" w:hAnsi="楷体_GB2312" w:eastAsia="黑体" w:cs="楷体_GB2312"/>
          <w:bCs/>
          <w:sz w:val="32"/>
          <w:szCs w:val="32"/>
          <w:lang w:val="en-US" w:eastAsia="zh-CN"/>
        </w:rPr>
      </w:pPr>
      <w:r>
        <w:rPr>
          <w:rFonts w:hint="eastAsia" w:ascii="黑体" w:hAnsi="黑体" w:eastAsia="黑体" w:cs="黑体"/>
          <w:bCs/>
          <w:sz w:val="32"/>
          <w:szCs w:val="32"/>
        </w:rPr>
        <w:t>一、</w:t>
      </w:r>
      <w:r>
        <w:rPr>
          <w:rFonts w:hint="eastAsia" w:ascii="黑体" w:hAnsi="黑体" w:eastAsia="黑体" w:cs="黑体"/>
          <w:bCs/>
          <w:sz w:val="32"/>
          <w:szCs w:val="32"/>
          <w:lang w:val="en-US" w:eastAsia="zh-CN"/>
        </w:rPr>
        <w:t>主要职责</w:t>
      </w:r>
    </w:p>
    <w:p w14:paraId="773E5ED0">
      <w:pPr>
        <w:pageBreakBefore w:val="0"/>
        <w:widowControl/>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四川省食品药品审查评价及安全监测中心系四川省药品监督管理局直属参公管理事业单位。成立于2005年12月，加挂“四川省药品不良反应监测中心”“四川省医疗器械技术审查评价中心”牌子。</w:t>
      </w:r>
    </w:p>
    <w:p w14:paraId="013C4A1E">
      <w:pPr>
        <w:pageBreakBefore w:val="0"/>
        <w:widowControl/>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中心主要职能：承担四川省药品监督管理局责权范围内的药品、医疗器械、化妆品品种/产品技术审评及现场检查、上市后安全性监测工作；指导市（州）药品不良反应/药物滥用监测机构开展监测业务工作。</w:t>
      </w:r>
    </w:p>
    <w:bookmarkEnd w:id="11"/>
    <w:bookmarkEnd w:id="12"/>
    <w:p w14:paraId="162DC737">
      <w:pPr>
        <w:pStyle w:val="2"/>
        <w:pageBreakBefore w:val="0"/>
        <w:kinsoku/>
        <w:wordWrap/>
        <w:overflowPunct/>
        <w:topLinePunct w:val="0"/>
        <w:autoSpaceDE/>
        <w:autoSpaceDN/>
        <w:bidi w:val="0"/>
        <w:adjustRightInd w:val="0"/>
        <w:snapToGrid w:val="0"/>
        <w:spacing w:beforeLines="0" w:line="560" w:lineRule="exact"/>
        <w:ind w:firstLine="672" w:firstLineChars="210"/>
        <w:textAlignment w:val="auto"/>
        <w:outlineLvl w:val="2"/>
        <w:rPr>
          <w:rFonts w:hint="eastAsia" w:ascii="黑体" w:hAnsi="黑体" w:eastAsia="黑体" w:cs="黑体"/>
          <w:bCs/>
          <w:sz w:val="32"/>
          <w:szCs w:val="32"/>
          <w:lang w:val="en-US" w:eastAsia="zh-CN"/>
        </w:rPr>
      </w:pPr>
      <w:r>
        <w:rPr>
          <w:rFonts w:hint="eastAsia" w:ascii="黑体" w:hAnsi="黑体" w:eastAsia="黑体" w:cs="黑体"/>
          <w:bCs/>
          <w:sz w:val="32"/>
          <w:szCs w:val="32"/>
        </w:rPr>
        <w:t>二、</w:t>
      </w:r>
      <w:r>
        <w:rPr>
          <w:rFonts w:hint="eastAsia" w:ascii="黑体" w:hAnsi="黑体" w:eastAsia="黑体" w:cs="黑体"/>
          <w:bCs/>
          <w:sz w:val="32"/>
          <w:szCs w:val="32"/>
          <w:lang w:val="en-US" w:eastAsia="zh-CN"/>
        </w:rPr>
        <w:t>机构设置</w:t>
      </w:r>
    </w:p>
    <w:p w14:paraId="53EB8D95">
      <w:pPr>
        <w:pageBreakBefore w:val="0"/>
        <w:widowControl/>
        <w:kinsoku/>
        <w:wordWrap/>
        <w:overflowPunct/>
        <w:topLinePunct w:val="0"/>
        <w:autoSpaceDE/>
        <w:autoSpaceDN/>
        <w:bidi w:val="0"/>
        <w:spacing w:line="560" w:lineRule="exact"/>
        <w:ind w:firstLine="640" w:firstLineChars="200"/>
        <w:jc w:val="left"/>
        <w:textAlignment w:val="auto"/>
        <w:rPr>
          <w:rFonts w:hint="eastAsia" w:ascii="Times New Roman" w:hAnsi="Times New Roman" w:eastAsia="仿宋_GB2312" w:cs="Times New Roman"/>
          <w:color w:val="000000"/>
          <w:sz w:val="32"/>
          <w:szCs w:val="32"/>
        </w:rPr>
      </w:pPr>
      <w:bookmarkStart w:id="13" w:name="_Toc15396602"/>
      <w:bookmarkStart w:id="14" w:name="_Toc15377204"/>
      <w:r>
        <w:rPr>
          <w:rFonts w:hint="eastAsia" w:ascii="Times New Roman" w:hAnsi="Times New Roman" w:eastAsia="仿宋_GB2312" w:cs="Times New Roman"/>
          <w:color w:val="000000"/>
          <w:sz w:val="32"/>
          <w:szCs w:val="32"/>
        </w:rPr>
        <w:t>内设办公室、综合科、药品注册审查科、药品前置服务科、药品生产检查科、药品经营检查科、医疗器械审查一科、医疗器械审查二科、化妆品审查科、药品化妆品监测科、医疗器械药物滥用监测科等11个科室。</w:t>
      </w:r>
    </w:p>
    <w:p w14:paraId="2D261934">
      <w:pPr>
        <w:pStyle w:val="9"/>
        <w:rPr>
          <w:rFonts w:hint="eastAsia" w:eastAsia="仿宋_GB2312"/>
          <w:color w:val="000000"/>
          <w:sz w:val="32"/>
          <w:szCs w:val="32"/>
        </w:rPr>
      </w:pPr>
    </w:p>
    <w:p w14:paraId="5055171C">
      <w:pPr>
        <w:pStyle w:val="9"/>
        <w:rPr>
          <w:rFonts w:hint="eastAsia" w:eastAsia="仿宋_GB2312"/>
          <w:color w:val="000000"/>
          <w:sz w:val="32"/>
          <w:szCs w:val="32"/>
        </w:rPr>
      </w:pPr>
    </w:p>
    <w:p w14:paraId="488E4D93">
      <w:pPr>
        <w:pStyle w:val="3"/>
        <w:pageBreakBefore w:val="0"/>
        <w:kinsoku/>
        <w:wordWrap/>
        <w:overflowPunct/>
        <w:topLinePunct w:val="0"/>
        <w:autoSpaceDE/>
        <w:autoSpaceDN/>
        <w:bidi w:val="0"/>
        <w:spacing w:line="560" w:lineRule="exact"/>
        <w:ind w:right="440"/>
        <w:jc w:val="both"/>
        <w:textAlignment w:val="auto"/>
        <w:rPr>
          <w:rFonts w:hint="eastAsia" w:ascii="黑体" w:hAnsi="黑体" w:eastAsia="黑体"/>
          <w:b w:val="0"/>
        </w:rPr>
      </w:pPr>
    </w:p>
    <w:p w14:paraId="592B0C39">
      <w:pPr>
        <w:rPr>
          <w:rFonts w:hint="eastAsia" w:ascii="黑体" w:hAnsi="黑体" w:eastAsia="黑体"/>
          <w:b w:val="0"/>
        </w:rPr>
      </w:pPr>
    </w:p>
    <w:p w14:paraId="65AED2F0">
      <w:pPr>
        <w:pStyle w:val="2"/>
        <w:rPr>
          <w:rFonts w:hint="eastAsia" w:ascii="黑体" w:hAnsi="黑体" w:eastAsia="黑体"/>
          <w:b w:val="0"/>
        </w:rPr>
      </w:pPr>
    </w:p>
    <w:p w14:paraId="4277D9C2">
      <w:pPr>
        <w:pStyle w:val="2"/>
        <w:rPr>
          <w:rFonts w:hint="eastAsia" w:ascii="黑体" w:hAnsi="黑体" w:eastAsia="黑体"/>
          <w:b w:val="0"/>
        </w:rPr>
      </w:pPr>
    </w:p>
    <w:p w14:paraId="3D442715">
      <w:pPr>
        <w:rPr>
          <w:rFonts w:hint="eastAsia" w:ascii="黑体" w:hAnsi="黑体" w:eastAsia="黑体"/>
          <w:b w:val="0"/>
        </w:rPr>
      </w:pPr>
    </w:p>
    <w:p w14:paraId="1D362C5A">
      <w:pPr>
        <w:pStyle w:val="9"/>
        <w:rPr>
          <w:rFonts w:hint="eastAsia" w:ascii="黑体" w:hAnsi="黑体" w:eastAsia="黑体"/>
          <w:b w:val="0"/>
        </w:rPr>
      </w:pPr>
    </w:p>
    <w:p w14:paraId="45D98223">
      <w:pPr>
        <w:pStyle w:val="9"/>
        <w:rPr>
          <w:rFonts w:hint="eastAsia" w:ascii="黑体" w:hAnsi="黑体" w:eastAsia="黑体"/>
          <w:b w:val="0"/>
        </w:rPr>
      </w:pPr>
    </w:p>
    <w:p w14:paraId="50627C86">
      <w:pPr>
        <w:pStyle w:val="3"/>
        <w:pageBreakBefore w:val="0"/>
        <w:kinsoku/>
        <w:wordWrap/>
        <w:overflowPunct/>
        <w:topLinePunct w:val="0"/>
        <w:autoSpaceDE/>
        <w:autoSpaceDN/>
        <w:bidi w:val="0"/>
        <w:spacing w:line="560" w:lineRule="exact"/>
        <w:ind w:right="440"/>
        <w:jc w:val="center"/>
        <w:textAlignment w:val="auto"/>
        <w:rPr>
          <w:rStyle w:val="23"/>
          <w:rFonts w:ascii="黑体" w:hAnsi="黑体" w:eastAsia="黑体"/>
          <w:b w:val="0"/>
          <w:bCs/>
        </w:rPr>
      </w:pPr>
      <w:r>
        <w:rPr>
          <w:rFonts w:hint="eastAsia" w:ascii="黑体" w:hAnsi="黑体" w:eastAsia="黑体"/>
          <w:b w:val="0"/>
        </w:rPr>
        <w:t xml:space="preserve">第二部分 </w:t>
      </w:r>
      <w:r>
        <w:rPr>
          <w:rFonts w:hint="default" w:ascii="Times New Roman" w:hAnsi="Times New Roman" w:eastAsia="黑体" w:cs="Times New Roman"/>
          <w:b w:val="0"/>
        </w:rPr>
        <w:t>202</w:t>
      </w:r>
      <w:r>
        <w:rPr>
          <w:rFonts w:hint="eastAsia" w:ascii="Times New Roman" w:hAnsi="Times New Roman" w:eastAsia="黑体" w:cs="Times New Roman"/>
          <w:b w:val="0"/>
          <w:lang w:val="en-US" w:eastAsia="zh-CN"/>
        </w:rPr>
        <w:t>4</w:t>
      </w:r>
      <w:r>
        <w:rPr>
          <w:rFonts w:hint="eastAsia" w:ascii="黑体" w:hAnsi="黑体" w:eastAsia="黑体"/>
          <w:b w:val="0"/>
        </w:rPr>
        <w:t>年度</w:t>
      </w:r>
      <w:r>
        <w:rPr>
          <w:rStyle w:val="23"/>
          <w:rFonts w:hint="eastAsia" w:ascii="黑体" w:hAnsi="黑体" w:eastAsia="黑体"/>
          <w:b w:val="0"/>
          <w:bCs/>
          <w:lang w:eastAsia="zh-CN"/>
        </w:rPr>
        <w:t>单位</w:t>
      </w:r>
      <w:r>
        <w:rPr>
          <w:rStyle w:val="23"/>
          <w:rFonts w:hint="eastAsia" w:ascii="黑体" w:hAnsi="黑体" w:eastAsia="黑体"/>
          <w:b w:val="0"/>
          <w:bCs/>
        </w:rPr>
        <w:t>决算情况说明</w:t>
      </w:r>
      <w:bookmarkEnd w:id="13"/>
      <w:bookmarkEnd w:id="14"/>
    </w:p>
    <w:p w14:paraId="1E8ED187">
      <w:pPr>
        <w:pageBreakBefore w:val="0"/>
        <w:kinsoku/>
        <w:wordWrap/>
        <w:overflowPunct/>
        <w:topLinePunct w:val="0"/>
        <w:autoSpaceDE/>
        <w:autoSpaceDN/>
        <w:bidi w:val="0"/>
        <w:spacing w:line="560" w:lineRule="exact"/>
        <w:textAlignment w:val="auto"/>
      </w:pPr>
    </w:p>
    <w:p w14:paraId="63BA5513">
      <w:pPr>
        <w:pStyle w:val="43"/>
        <w:pageBreakBefore w:val="0"/>
        <w:numPr>
          <w:ilvl w:val="0"/>
          <w:numId w:val="2"/>
        </w:numPr>
        <w:kinsoku/>
        <w:wordWrap/>
        <w:overflowPunct/>
        <w:topLinePunct w:val="0"/>
        <w:autoSpaceDE/>
        <w:autoSpaceDN/>
        <w:bidi w:val="0"/>
        <w:spacing w:line="560" w:lineRule="exact"/>
        <w:ind w:firstLineChars="0"/>
        <w:textAlignment w:val="auto"/>
        <w:outlineLvl w:val="1"/>
        <w:rPr>
          <w:rStyle w:val="24"/>
          <w:rFonts w:ascii="黑体" w:hAnsi="黑体" w:eastAsia="黑体"/>
          <w:b w:val="0"/>
        </w:rPr>
      </w:pPr>
      <w:bookmarkStart w:id="15" w:name="_Toc15377205"/>
      <w:bookmarkStart w:id="16" w:name="_Toc15396603"/>
      <w:r>
        <w:rPr>
          <w:rFonts w:hint="eastAsia" w:ascii="黑体" w:hAnsi="黑体" w:eastAsia="黑体"/>
          <w:sz w:val="32"/>
          <w:szCs w:val="32"/>
        </w:rPr>
        <w:t>收</w:t>
      </w:r>
      <w:r>
        <w:rPr>
          <w:rStyle w:val="24"/>
          <w:rFonts w:hint="eastAsia" w:ascii="黑体" w:hAnsi="黑体" w:eastAsia="黑体"/>
          <w:b w:val="0"/>
        </w:rPr>
        <w:t>入支出决算总体情况说明</w:t>
      </w:r>
      <w:bookmarkEnd w:id="15"/>
      <w:bookmarkEnd w:id="16"/>
    </w:p>
    <w:p w14:paraId="4682C48A">
      <w:pPr>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年度收、支总计</w:t>
      </w:r>
      <w:r>
        <w:rPr>
          <w:rFonts w:hint="eastAsia" w:ascii="Times New Roman" w:hAnsi="Times New Roman" w:eastAsia="仿宋_GB2312" w:cs="Times New Roman"/>
          <w:sz w:val="32"/>
          <w:szCs w:val="32"/>
          <w:lang w:val="en-US" w:eastAsia="zh-CN"/>
        </w:rPr>
        <w:t>3347.55</w:t>
      </w:r>
      <w:r>
        <w:rPr>
          <w:rFonts w:hint="default" w:ascii="Times New Roman" w:hAnsi="Times New Roman" w:eastAsia="仿宋_GB2312" w:cs="Times New Roman"/>
          <w:sz w:val="32"/>
          <w:szCs w:val="32"/>
        </w:rPr>
        <w:t>万元。与20</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default" w:ascii="Times New Roman" w:hAnsi="Times New Roman" w:eastAsia="仿宋_GB2312" w:cs="Times New Roman"/>
          <w:sz w:val="32"/>
          <w:szCs w:val="32"/>
        </w:rPr>
        <w:t>相比，收、支总计各</w:t>
      </w:r>
      <w:r>
        <w:rPr>
          <w:rFonts w:hint="default" w:ascii="Times New Roman" w:hAnsi="Times New Roman" w:eastAsia="仿宋_GB2312" w:cs="Times New Roman"/>
          <w:sz w:val="32"/>
          <w:szCs w:val="32"/>
          <w:lang w:val="en-US" w:eastAsia="zh-CN"/>
        </w:rPr>
        <w:t>增加</w:t>
      </w:r>
      <w:r>
        <w:rPr>
          <w:rFonts w:hint="eastAsia" w:ascii="Times New Roman" w:hAnsi="Times New Roman" w:eastAsia="仿宋_GB2312" w:cs="Times New Roman"/>
          <w:sz w:val="32"/>
          <w:szCs w:val="32"/>
          <w:lang w:val="en-US" w:eastAsia="zh-CN"/>
        </w:rPr>
        <w:t>303.46</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sz w:val="32"/>
          <w:szCs w:val="32"/>
          <w:lang w:val="en-US" w:eastAsia="zh-CN"/>
        </w:rPr>
        <w:t>增加</w:t>
      </w:r>
      <w:r>
        <w:rPr>
          <w:rFonts w:hint="eastAsia" w:ascii="Times New Roman" w:hAnsi="Times New Roman" w:eastAsia="仿宋_GB2312" w:cs="Times New Roman"/>
          <w:sz w:val="32"/>
          <w:szCs w:val="32"/>
          <w:lang w:val="en-US" w:eastAsia="zh-CN"/>
        </w:rPr>
        <w:t>9.97</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主要变动原因是</w:t>
      </w:r>
      <w:r>
        <w:rPr>
          <w:rFonts w:hint="default" w:ascii="Times New Roman" w:hAnsi="Times New Roman" w:eastAsia="仿宋_GB2312" w:cs="Times New Roman"/>
          <w:sz w:val="32"/>
          <w:szCs w:val="32"/>
          <w:lang w:eastAsia="zh-CN"/>
        </w:rPr>
        <w:t>基本</w:t>
      </w:r>
      <w:r>
        <w:rPr>
          <w:rFonts w:hint="default" w:ascii="Times New Roman" w:hAnsi="Times New Roman" w:eastAsia="仿宋_GB2312" w:cs="Times New Roman"/>
          <w:sz w:val="32"/>
          <w:szCs w:val="32"/>
          <w:lang w:val="en-US" w:eastAsia="zh-CN"/>
        </w:rPr>
        <w:t>支出中人员经费</w:t>
      </w:r>
      <w:r>
        <w:rPr>
          <w:rFonts w:hint="eastAsia" w:ascii="Times New Roman" w:hAnsi="Times New Roman" w:eastAsia="仿宋_GB2312" w:cs="Times New Roman"/>
          <w:sz w:val="32"/>
          <w:szCs w:val="32"/>
          <w:lang w:val="en-US" w:eastAsia="zh-CN"/>
        </w:rPr>
        <w:t>及定额公用经费</w:t>
      </w:r>
      <w:r>
        <w:rPr>
          <w:rFonts w:hint="default" w:ascii="Times New Roman" w:hAnsi="Times New Roman" w:eastAsia="仿宋_GB2312" w:cs="Times New Roman"/>
          <w:sz w:val="32"/>
          <w:szCs w:val="32"/>
          <w:lang w:val="en-US" w:eastAsia="zh-CN"/>
        </w:rPr>
        <w:t>较上年增加</w:t>
      </w:r>
      <w:r>
        <w:rPr>
          <w:rFonts w:hint="eastAsia" w:ascii="Times New Roman" w:hAnsi="Times New Roman" w:eastAsia="仿宋_GB2312" w:cs="Times New Roman"/>
          <w:sz w:val="32"/>
          <w:szCs w:val="32"/>
          <w:lang w:val="en-US" w:eastAsia="zh-CN"/>
        </w:rPr>
        <w:t>约70万元，中央资金较上年增加75万元，新增药品许可检查及核查（上市前）项目159万元</w:t>
      </w:r>
      <w:r>
        <w:rPr>
          <w:rFonts w:hint="default" w:ascii="Times New Roman" w:hAnsi="Times New Roman" w:eastAsia="仿宋_GB2312" w:cs="Times New Roman"/>
          <w:sz w:val="32"/>
          <w:szCs w:val="32"/>
        </w:rPr>
        <w:t>。</w:t>
      </w:r>
    </w:p>
    <w:p w14:paraId="04B67A1C">
      <w:pPr>
        <w:pStyle w:val="12"/>
        <w:ind w:left="0" w:leftChars="0" w:firstLine="0" w:firstLineChars="0"/>
        <w:rPr>
          <w:rFonts w:ascii="仿宋_GB2312" w:eastAsia="仿宋_GB2312"/>
          <w:sz w:val="32"/>
          <w:szCs w:val="32"/>
        </w:rPr>
      </w:pPr>
      <w:r>
        <w:rPr>
          <w:rFonts w:hint="eastAsia" w:eastAsia="宋体"/>
          <w:lang w:eastAsia="zh-CN"/>
        </w:rPr>
        <w:pict>
          <v:shape id="Object 12" o:spid="_x0000_s1026" o:spt="75" type="#_x0000_t75" style="position:absolute;left:0pt;margin-left:-2.25pt;margin-top:4.4pt;height:245.6pt;width:425.5pt;z-index:251666432;mso-width-relative:page;mso-height-relative:page;" o:ole="t" filled="f" o:preferrelative="t" stroked="f" coordsize="21600,21600">
            <v:path/>
            <v:fill on="f" focussize="0,0"/>
            <v:stroke on="f"/>
            <v:imagedata r:id="rId24" o:title=""/>
            <o:lock v:ext="edit" aspectratio="t"/>
          </v:shape>
          <o:OLEObject Type="Embed" ProgID="Excel.Chart.8" ShapeID="Object 12" DrawAspect="Content" ObjectID="_1468075725" r:id="rId23">
            <o:LockedField>false</o:LockedField>
          </o:OLEObject>
        </w:pict>
      </w:r>
    </w:p>
    <w:p w14:paraId="2426E3DA">
      <w:pPr>
        <w:pStyle w:val="9"/>
        <w:rPr>
          <w:rFonts w:ascii="仿宋_GB2312" w:eastAsia="仿宋_GB2312"/>
          <w:sz w:val="32"/>
          <w:szCs w:val="32"/>
        </w:rPr>
      </w:pPr>
    </w:p>
    <w:p w14:paraId="6AFA49F9">
      <w:pPr>
        <w:pStyle w:val="9"/>
        <w:rPr>
          <w:rFonts w:ascii="仿宋_GB2312" w:eastAsia="仿宋_GB2312"/>
          <w:sz w:val="32"/>
          <w:szCs w:val="32"/>
        </w:rPr>
      </w:pPr>
    </w:p>
    <w:p w14:paraId="65CDA861">
      <w:pPr>
        <w:pStyle w:val="9"/>
        <w:rPr>
          <w:rFonts w:ascii="仿宋_GB2312" w:eastAsia="仿宋_GB2312"/>
          <w:sz w:val="32"/>
          <w:szCs w:val="32"/>
        </w:rPr>
      </w:pPr>
    </w:p>
    <w:p w14:paraId="34300DA2">
      <w:pPr>
        <w:pStyle w:val="9"/>
        <w:rPr>
          <w:rFonts w:ascii="仿宋_GB2312" w:eastAsia="仿宋_GB2312"/>
          <w:sz w:val="32"/>
          <w:szCs w:val="32"/>
        </w:rPr>
      </w:pPr>
    </w:p>
    <w:p w14:paraId="65FFF6AB">
      <w:pPr>
        <w:pStyle w:val="9"/>
        <w:rPr>
          <w:rFonts w:ascii="仿宋_GB2312" w:eastAsia="仿宋_GB2312"/>
          <w:sz w:val="32"/>
          <w:szCs w:val="32"/>
        </w:rPr>
      </w:pPr>
    </w:p>
    <w:p w14:paraId="4B502ED0">
      <w:pPr>
        <w:pStyle w:val="9"/>
        <w:rPr>
          <w:rFonts w:ascii="仿宋_GB2312" w:eastAsia="仿宋_GB2312"/>
          <w:sz w:val="32"/>
          <w:szCs w:val="32"/>
        </w:rPr>
      </w:pPr>
    </w:p>
    <w:p w14:paraId="746AAC51">
      <w:pPr>
        <w:pStyle w:val="9"/>
        <w:rPr>
          <w:rFonts w:ascii="仿宋_GB2312" w:eastAsia="仿宋_GB2312"/>
          <w:sz w:val="32"/>
          <w:szCs w:val="32"/>
        </w:rPr>
      </w:pPr>
    </w:p>
    <w:p w14:paraId="02E702A6">
      <w:pPr>
        <w:pStyle w:val="9"/>
        <w:rPr>
          <w:rFonts w:ascii="仿宋_GB2312" w:eastAsia="仿宋_GB2312"/>
          <w:sz w:val="32"/>
          <w:szCs w:val="32"/>
        </w:rPr>
      </w:pPr>
    </w:p>
    <w:p w14:paraId="70B18680">
      <w:pPr>
        <w:pStyle w:val="9"/>
        <w:rPr>
          <w:rFonts w:ascii="仿宋_GB2312" w:eastAsia="仿宋_GB2312"/>
          <w:sz w:val="32"/>
          <w:szCs w:val="32"/>
        </w:rPr>
      </w:pPr>
    </w:p>
    <w:p w14:paraId="6C0D45E6">
      <w:pPr>
        <w:pStyle w:val="43"/>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firstLineChars="0"/>
        <w:textAlignment w:val="auto"/>
        <w:outlineLvl w:val="1"/>
        <w:rPr>
          <w:rStyle w:val="24"/>
          <w:rFonts w:ascii="黑体" w:hAnsi="黑体" w:eastAsia="黑体"/>
          <w:b w:val="0"/>
        </w:rPr>
      </w:pPr>
      <w:bookmarkStart w:id="17" w:name="_Toc15396604"/>
      <w:bookmarkStart w:id="18" w:name="_Toc15377206"/>
      <w:r>
        <w:rPr>
          <w:rFonts w:hint="eastAsia" w:ascii="黑体" w:hAnsi="黑体" w:eastAsia="黑体"/>
          <w:sz w:val="32"/>
          <w:szCs w:val="32"/>
        </w:rPr>
        <w:t>收</w:t>
      </w:r>
      <w:r>
        <w:rPr>
          <w:rStyle w:val="24"/>
          <w:rFonts w:hint="eastAsia" w:ascii="黑体" w:hAnsi="黑体" w:eastAsia="黑体"/>
          <w:b w:val="0"/>
        </w:rPr>
        <w:t>入决算情况说明</w:t>
      </w:r>
      <w:bookmarkEnd w:id="17"/>
      <w:bookmarkEnd w:id="18"/>
    </w:p>
    <w:p w14:paraId="479784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20</w:t>
      </w:r>
      <w:r>
        <w:rPr>
          <w:rFonts w:hint="eastAsia"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本年收入合计</w:t>
      </w:r>
      <w:r>
        <w:rPr>
          <w:rFonts w:hint="eastAsia" w:ascii="Times New Roman" w:hAnsi="Times New Roman" w:eastAsia="仿宋_GB2312" w:cs="Times New Roman"/>
          <w:sz w:val="32"/>
          <w:szCs w:val="32"/>
          <w:lang w:val="en-US" w:eastAsia="zh-CN"/>
        </w:rPr>
        <w:t>3332.1</w:t>
      </w:r>
      <w:r>
        <w:rPr>
          <w:rFonts w:hint="eastAsia" w:ascii="Times New Roman" w:hAnsi="Times New Roman" w:eastAsia="仿宋_GB2312" w:cs="Times New Roman"/>
          <w:sz w:val="32"/>
          <w:szCs w:val="32"/>
        </w:rPr>
        <w:t>万元，其中：一般公共预算财政拨款收入</w:t>
      </w:r>
      <w:r>
        <w:rPr>
          <w:rFonts w:hint="eastAsia" w:ascii="Times New Roman" w:hAnsi="Times New Roman" w:eastAsia="仿宋_GB2312" w:cs="Times New Roman"/>
          <w:sz w:val="32"/>
          <w:szCs w:val="32"/>
          <w:lang w:val="en-US" w:eastAsia="zh-CN"/>
        </w:rPr>
        <w:t>3332.01</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；政府性基金预算财政拨款收入0万元，占0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；上级补助收入0万元，占0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；事业收入0万元，占0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；经营收入0万元，占0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；附属单位上缴收入0万元，占0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；其他收入</w:t>
      </w:r>
      <w:r>
        <w:rPr>
          <w:rFonts w:hint="eastAsia" w:ascii="Times New Roman" w:hAnsi="Times New Roman" w:eastAsia="仿宋_GB2312" w:cs="Times New Roman"/>
          <w:sz w:val="32"/>
          <w:szCs w:val="32"/>
          <w:lang w:val="en-US" w:eastAsia="zh-CN"/>
        </w:rPr>
        <w:t>0.09</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14:paraId="11E9B417">
      <w:pPr>
        <w:pStyle w:val="9"/>
        <w:rPr>
          <w:rFonts w:hint="eastAsia" w:ascii="仿宋" w:hAnsi="仿宋" w:eastAsia="仿宋"/>
          <w:sz w:val="32"/>
          <w:szCs w:val="32"/>
        </w:rPr>
      </w:pPr>
    </w:p>
    <w:p w14:paraId="41F0E075">
      <w:pPr>
        <w:pStyle w:val="9"/>
        <w:rPr>
          <w:rFonts w:hint="eastAsia" w:ascii="仿宋" w:hAnsi="仿宋" w:eastAsia="仿宋"/>
          <w:sz w:val="32"/>
          <w:szCs w:val="32"/>
        </w:rPr>
      </w:pPr>
    </w:p>
    <w:p w14:paraId="68D30027">
      <w:pPr>
        <w:pStyle w:val="9"/>
        <w:jc w:val="center"/>
        <w:rPr>
          <w:rFonts w:hint="eastAsia" w:ascii="仿宋" w:hAnsi="仿宋" w:eastAsia="仿宋"/>
          <w:sz w:val="32"/>
          <w:szCs w:val="32"/>
          <w:lang w:eastAsia="zh-CN"/>
        </w:rPr>
      </w:pPr>
      <w:r>
        <w:rPr>
          <w:rFonts w:hint="eastAsia" w:ascii="仿宋" w:hAnsi="仿宋" w:eastAsia="仿宋"/>
          <w:sz w:val="32"/>
          <w:szCs w:val="32"/>
          <w:lang w:eastAsia="zh-CN"/>
        </w:rPr>
        <w:object>
          <v:shape id="_x0000_i1025" o:spt="75" type="#_x0000_t75" style="height:210.55pt;width:358.55pt;" o:ole="t" filled="f" o:preferrelative="t" stroked="f" coordsize="21600,21600">
            <v:path/>
            <v:fill on="f" focussize="0,0"/>
            <v:stroke on="f"/>
            <v:imagedata r:id="rId26" o:title=""/>
            <o:lock v:ext="edit" aspectratio="t"/>
            <w10:wrap type="none"/>
            <w10:anchorlock/>
          </v:shape>
          <o:OLEObject Type="Embed" ProgID="Excel.Chart.8" ShapeID="_x0000_i1025" DrawAspect="Content" ObjectID="_1468075726" r:id="rId25">
            <o:LockedField>false</o:LockedField>
          </o:OLEObject>
        </w:object>
      </w:r>
    </w:p>
    <w:p w14:paraId="4FACC839">
      <w:pPr>
        <w:pStyle w:val="43"/>
        <w:keepNext w:val="0"/>
        <w:keepLines w:val="0"/>
        <w:pageBreakBefore w:val="0"/>
        <w:widowControl w:val="0"/>
        <w:numPr>
          <w:ilvl w:val="0"/>
          <w:numId w:val="2"/>
        </w:numPr>
        <w:kinsoku/>
        <w:wordWrap/>
        <w:overflowPunct/>
        <w:topLinePunct w:val="0"/>
        <w:autoSpaceDE/>
        <w:autoSpaceDN/>
        <w:bidi w:val="0"/>
        <w:spacing w:line="560" w:lineRule="exact"/>
        <w:ind w:firstLineChars="0"/>
        <w:textAlignment w:val="auto"/>
        <w:outlineLvl w:val="1"/>
        <w:rPr>
          <w:rStyle w:val="24"/>
          <w:rFonts w:ascii="黑体" w:hAnsi="黑体" w:eastAsia="黑体"/>
          <w:b w:val="0"/>
        </w:rPr>
      </w:pPr>
      <w:bookmarkStart w:id="19" w:name="_Toc15377207"/>
      <w:bookmarkStart w:id="20" w:name="_Toc15396605"/>
      <w:r>
        <w:rPr>
          <w:rFonts w:hint="eastAsia" w:ascii="黑体" w:hAnsi="黑体" w:eastAsia="黑体"/>
          <w:sz w:val="32"/>
          <w:szCs w:val="32"/>
        </w:rPr>
        <w:t>支</w:t>
      </w:r>
      <w:r>
        <w:rPr>
          <w:rStyle w:val="24"/>
          <w:rFonts w:hint="eastAsia" w:ascii="黑体" w:hAnsi="黑体" w:eastAsia="黑体"/>
          <w:b w:val="0"/>
        </w:rPr>
        <w:t>出决算情况说明</w:t>
      </w:r>
      <w:bookmarkEnd w:id="19"/>
      <w:bookmarkEnd w:id="20"/>
    </w:p>
    <w:p w14:paraId="34E2EE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w:t>
      </w:r>
      <w:r>
        <w:rPr>
          <w:rFonts w:hint="eastAsia"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本年支出合计</w:t>
      </w:r>
      <w:r>
        <w:rPr>
          <w:rFonts w:hint="eastAsia" w:ascii="Times New Roman" w:hAnsi="Times New Roman" w:eastAsia="仿宋_GB2312" w:cs="Times New Roman"/>
          <w:sz w:val="32"/>
          <w:szCs w:val="32"/>
          <w:lang w:val="en-US" w:eastAsia="zh-CN"/>
        </w:rPr>
        <w:t>3332.11</w:t>
      </w:r>
      <w:r>
        <w:rPr>
          <w:rFonts w:hint="eastAsia" w:ascii="Times New Roman" w:hAnsi="Times New Roman" w:eastAsia="仿宋_GB2312" w:cs="Times New Roman"/>
          <w:sz w:val="32"/>
          <w:szCs w:val="32"/>
        </w:rPr>
        <w:t>万元，其中：基本支出</w:t>
      </w:r>
      <w:r>
        <w:rPr>
          <w:rFonts w:hint="eastAsia" w:ascii="Times New Roman" w:hAnsi="Times New Roman" w:eastAsia="仿宋_GB2312" w:cs="Times New Roman"/>
          <w:sz w:val="32"/>
          <w:szCs w:val="32"/>
          <w:lang w:val="en-US" w:eastAsia="zh-CN"/>
        </w:rPr>
        <w:t>2044.13</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61.35</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；项目支出</w:t>
      </w:r>
      <w:r>
        <w:rPr>
          <w:rFonts w:hint="eastAsia" w:ascii="Times New Roman" w:hAnsi="Times New Roman" w:eastAsia="仿宋_GB2312" w:cs="Times New Roman"/>
          <w:sz w:val="32"/>
          <w:szCs w:val="32"/>
          <w:lang w:val="en-US" w:eastAsia="zh-CN"/>
        </w:rPr>
        <w:t>1287.98</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38.65</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；上缴上级支出0万元，占0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；经营支出0万元，占0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；对附属单位补助支出0万元，占0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14:paraId="753B76D5">
      <w:pPr>
        <w:spacing w:line="6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pict>
          <v:shape id="Object 71" o:spid="_x0000_s1027" o:spt="75" type="#_x0000_t75" style="position:absolute;left:0pt;margin-left:31.2pt;margin-top:2.65pt;height:208.95pt;width:363.05pt;z-index:251669504;mso-width-relative:page;mso-height-relative:page;" o:ole="t" filled="f" o:preferrelative="t" stroked="f" coordsize="21600,21600">
            <v:path/>
            <v:fill on="f" focussize="0,0"/>
            <v:stroke on="f"/>
            <v:imagedata r:id="rId28" o:title=""/>
            <o:lock v:ext="edit" aspectratio="t"/>
          </v:shape>
          <o:OLEObject Type="Embed" ProgID="Excel.Chart.8" ShapeID="Object 71" DrawAspect="Content" ObjectID="_1468075727" r:id="rId27">
            <o:LockedField>false</o:LockedField>
          </o:OLEObject>
        </w:pict>
      </w:r>
    </w:p>
    <w:p w14:paraId="52E3D1B6">
      <w:pPr>
        <w:spacing w:line="600" w:lineRule="exact"/>
        <w:ind w:firstLine="640" w:firstLineChars="200"/>
        <w:rPr>
          <w:rFonts w:ascii="仿宋_GB2312" w:eastAsia="仿宋_GB2312"/>
          <w:sz w:val="32"/>
          <w:szCs w:val="32"/>
        </w:rPr>
      </w:pPr>
    </w:p>
    <w:p w14:paraId="2E9F30BE">
      <w:pPr>
        <w:spacing w:line="600" w:lineRule="exact"/>
        <w:ind w:firstLine="640" w:firstLineChars="200"/>
        <w:rPr>
          <w:rFonts w:ascii="仿宋_GB2312" w:eastAsia="仿宋_GB2312"/>
          <w:sz w:val="32"/>
          <w:szCs w:val="32"/>
        </w:rPr>
      </w:pPr>
    </w:p>
    <w:p w14:paraId="7045B63D">
      <w:pPr>
        <w:spacing w:line="600" w:lineRule="exact"/>
        <w:ind w:firstLine="640" w:firstLineChars="200"/>
        <w:rPr>
          <w:rFonts w:ascii="仿宋_GB2312" w:eastAsia="仿宋_GB2312"/>
          <w:sz w:val="32"/>
          <w:szCs w:val="32"/>
        </w:rPr>
      </w:pPr>
    </w:p>
    <w:p w14:paraId="69529139">
      <w:pPr>
        <w:spacing w:line="600" w:lineRule="exact"/>
        <w:ind w:firstLine="640" w:firstLineChars="200"/>
        <w:rPr>
          <w:rFonts w:ascii="仿宋_GB2312" w:eastAsia="仿宋_GB2312"/>
          <w:sz w:val="32"/>
          <w:szCs w:val="32"/>
        </w:rPr>
      </w:pPr>
    </w:p>
    <w:p w14:paraId="7AAC8951">
      <w:pPr>
        <w:spacing w:line="240" w:lineRule="auto"/>
        <w:ind w:firstLine="0" w:firstLineChars="0"/>
        <w:rPr>
          <w:rFonts w:ascii="仿宋_GB2312" w:eastAsia="仿宋_GB2312"/>
          <w:sz w:val="32"/>
          <w:szCs w:val="32"/>
        </w:rPr>
      </w:pPr>
    </w:p>
    <w:p w14:paraId="18D0FE8F">
      <w:pPr>
        <w:pStyle w:val="9"/>
        <w:rPr>
          <w:rFonts w:ascii="仿宋_GB2312" w:eastAsia="仿宋_GB2312"/>
          <w:sz w:val="32"/>
          <w:szCs w:val="32"/>
        </w:rPr>
      </w:pPr>
    </w:p>
    <w:p w14:paraId="5E3B5BE3">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outlineLvl w:val="1"/>
        <w:rPr>
          <w:rStyle w:val="24"/>
          <w:rFonts w:hint="eastAsia" w:ascii="黑体" w:hAnsi="黑体" w:eastAsia="黑体"/>
          <w:b w:val="0"/>
        </w:rPr>
      </w:pPr>
      <w:bookmarkStart w:id="21" w:name="_Toc15396606"/>
      <w:bookmarkStart w:id="22" w:name="_Toc15377208"/>
      <w:r>
        <w:rPr>
          <w:rFonts w:hint="eastAsia" w:ascii="黑体" w:hAnsi="黑体" w:eastAsia="黑体"/>
          <w:sz w:val="32"/>
          <w:szCs w:val="32"/>
          <w:lang w:val="en-US" w:eastAsia="zh-CN"/>
        </w:rPr>
        <w:t>四、</w:t>
      </w:r>
      <w:r>
        <w:rPr>
          <w:rFonts w:hint="eastAsia" w:ascii="黑体" w:hAnsi="黑体" w:eastAsia="黑体"/>
          <w:sz w:val="32"/>
          <w:szCs w:val="32"/>
        </w:rPr>
        <w:t>财</w:t>
      </w:r>
      <w:r>
        <w:rPr>
          <w:rStyle w:val="24"/>
          <w:rFonts w:hint="eastAsia" w:ascii="黑体" w:hAnsi="黑体" w:eastAsia="黑体"/>
          <w:b w:val="0"/>
        </w:rPr>
        <w:t>政拨款收入支出决算总体情况说明</w:t>
      </w:r>
      <w:bookmarkEnd w:id="21"/>
      <w:bookmarkEnd w:id="22"/>
    </w:p>
    <w:p w14:paraId="0FA194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20</w:t>
      </w:r>
      <w:r>
        <w:rPr>
          <w:rFonts w:hint="eastAsia"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财政拨款收、支总计</w:t>
      </w:r>
      <w:r>
        <w:rPr>
          <w:rFonts w:hint="eastAsia" w:ascii="Times New Roman" w:hAnsi="Times New Roman" w:eastAsia="仿宋_GB2312" w:cs="Times New Roman"/>
          <w:sz w:val="32"/>
          <w:szCs w:val="32"/>
          <w:lang w:val="en-US" w:eastAsia="zh-CN"/>
        </w:rPr>
        <w:t>3332.01</w:t>
      </w:r>
      <w:r>
        <w:rPr>
          <w:rFonts w:hint="eastAsia" w:ascii="Times New Roman" w:hAnsi="Times New Roman" w:eastAsia="仿宋_GB2312" w:cs="Times New Roman"/>
          <w:sz w:val="32"/>
          <w:szCs w:val="32"/>
        </w:rPr>
        <w:t>万元。与</w:t>
      </w:r>
      <w:r>
        <w:rPr>
          <w:rFonts w:hint="default" w:ascii="Times New Roman" w:hAnsi="Times New Roman" w:eastAsia="仿宋_GB2312" w:cs="Times New Roman"/>
          <w:sz w:val="32"/>
          <w:szCs w:val="32"/>
        </w:rPr>
        <w:t>20</w:t>
      </w:r>
      <w:r>
        <w:rPr>
          <w:rFonts w:hint="eastAsia" w:ascii="Times New Roman" w:hAnsi="Times New Roman" w:eastAsia="仿宋_GB2312" w:cs="Times New Roman"/>
          <w:sz w:val="32"/>
          <w:szCs w:val="32"/>
          <w:lang w:val="en-US" w:eastAsia="zh-CN"/>
        </w:rPr>
        <w:t>23</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相比，财政拨款收、支总计各增加</w:t>
      </w:r>
      <w:r>
        <w:rPr>
          <w:rFonts w:hint="eastAsia" w:ascii="Times New Roman" w:hAnsi="Times New Roman" w:eastAsia="仿宋_GB2312" w:cs="Times New Roman"/>
          <w:sz w:val="32"/>
          <w:szCs w:val="32"/>
          <w:lang w:val="en-US" w:eastAsia="zh-CN"/>
        </w:rPr>
        <w:t>322.66</w:t>
      </w:r>
      <w:r>
        <w:rPr>
          <w:rFonts w:hint="eastAsia" w:ascii="Times New Roman" w:hAnsi="Times New Roman" w:eastAsia="仿宋_GB2312" w:cs="Times New Roman"/>
          <w:sz w:val="32"/>
          <w:szCs w:val="32"/>
        </w:rPr>
        <w:t>万元，增长</w:t>
      </w:r>
      <w:r>
        <w:rPr>
          <w:rFonts w:hint="eastAsia" w:ascii="Times New Roman" w:hAnsi="Times New Roman" w:eastAsia="仿宋_GB2312" w:cs="Times New Roman"/>
          <w:sz w:val="32"/>
          <w:szCs w:val="32"/>
          <w:lang w:val="en-US" w:eastAsia="zh-CN"/>
        </w:rPr>
        <w:t>10.72</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。主要变动原因是</w:t>
      </w:r>
      <w:r>
        <w:rPr>
          <w:rFonts w:hint="default" w:ascii="Times New Roman" w:hAnsi="Times New Roman" w:eastAsia="仿宋_GB2312" w:cs="Times New Roman"/>
          <w:sz w:val="32"/>
          <w:szCs w:val="32"/>
          <w:lang w:eastAsia="zh-CN"/>
        </w:rPr>
        <w:t>基本</w:t>
      </w:r>
      <w:r>
        <w:rPr>
          <w:rFonts w:hint="default" w:ascii="Times New Roman" w:hAnsi="Times New Roman" w:eastAsia="仿宋_GB2312" w:cs="Times New Roman"/>
          <w:sz w:val="32"/>
          <w:szCs w:val="32"/>
          <w:lang w:val="en-US" w:eastAsia="zh-CN"/>
        </w:rPr>
        <w:t>支出中人员经费</w:t>
      </w:r>
      <w:r>
        <w:rPr>
          <w:rFonts w:hint="eastAsia" w:ascii="Times New Roman" w:hAnsi="Times New Roman" w:eastAsia="仿宋_GB2312" w:cs="Times New Roman"/>
          <w:sz w:val="32"/>
          <w:szCs w:val="32"/>
          <w:lang w:val="en-US" w:eastAsia="zh-CN"/>
        </w:rPr>
        <w:t>及定额公用经费</w:t>
      </w:r>
      <w:r>
        <w:rPr>
          <w:rFonts w:hint="default" w:ascii="Times New Roman" w:hAnsi="Times New Roman" w:eastAsia="仿宋_GB2312" w:cs="Times New Roman"/>
          <w:sz w:val="32"/>
          <w:szCs w:val="32"/>
          <w:lang w:val="en-US" w:eastAsia="zh-CN"/>
        </w:rPr>
        <w:t>较上年增加</w:t>
      </w:r>
      <w:r>
        <w:rPr>
          <w:rFonts w:hint="eastAsia" w:ascii="Times New Roman" w:hAnsi="Times New Roman" w:eastAsia="仿宋_GB2312" w:cs="Times New Roman"/>
          <w:sz w:val="32"/>
          <w:szCs w:val="32"/>
          <w:lang w:val="en-US" w:eastAsia="zh-CN"/>
        </w:rPr>
        <w:t>约70万元，中央资金较上年增加75万元，新增药品许可检查及核查（上市前）项目159万元</w:t>
      </w:r>
      <w:r>
        <w:rPr>
          <w:rFonts w:hint="eastAsia" w:ascii="Times New Roman" w:hAnsi="Times New Roman" w:eastAsia="仿宋_GB2312" w:cs="Times New Roman"/>
          <w:sz w:val="32"/>
          <w:szCs w:val="32"/>
        </w:rPr>
        <w:t>。</w:t>
      </w:r>
    </w:p>
    <w:p w14:paraId="6DD19F0A">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宋体"/>
          <w:lang w:eastAsia="zh-CN"/>
        </w:rPr>
      </w:pPr>
      <w:r>
        <w:rPr>
          <w:rFonts w:hint="eastAsia" w:eastAsia="宋体"/>
          <w:lang w:eastAsia="zh-CN"/>
        </w:rPr>
        <w:pict>
          <v:shape id="Object 69" o:spid="_x0000_s1028" o:spt="75" type="#_x0000_t75" style="position:absolute;left:0pt;margin-left:22.15pt;margin-top:8.65pt;height:222.75pt;width:366.75pt;z-index:251667456;mso-width-relative:page;mso-height-relative:page;" o:ole="t" filled="f" o:preferrelative="t" stroked="f" coordsize="21600,21600">
            <v:path/>
            <v:fill on="f" focussize="0,0"/>
            <v:stroke on="f"/>
            <v:imagedata r:id="rId30" o:title=""/>
            <o:lock v:ext="edit" aspectratio="t"/>
          </v:shape>
          <o:OLEObject Type="Embed" ProgID="Excel.Chart.8" ShapeID="Object 69" DrawAspect="Content" ObjectID="_1468075728" r:id="rId29">
            <o:LockedField>false</o:LockedField>
          </o:OLEObject>
        </w:pict>
      </w:r>
    </w:p>
    <w:p w14:paraId="73AE1608">
      <w:pPr>
        <w:spacing w:line="600" w:lineRule="exact"/>
        <w:ind w:firstLine="640" w:firstLineChars="200"/>
        <w:rPr>
          <w:rFonts w:hint="eastAsia" w:ascii="黑体" w:hAnsi="黑体" w:eastAsia="黑体"/>
          <w:sz w:val="32"/>
          <w:szCs w:val="32"/>
        </w:rPr>
      </w:pPr>
      <w:bookmarkStart w:id="23" w:name="_Toc15377209"/>
      <w:bookmarkStart w:id="24" w:name="_Toc15396607"/>
    </w:p>
    <w:p w14:paraId="5D26E6A2">
      <w:pPr>
        <w:spacing w:line="600" w:lineRule="exact"/>
        <w:ind w:firstLine="640" w:firstLineChars="200"/>
        <w:rPr>
          <w:rFonts w:hint="eastAsia" w:ascii="黑体" w:hAnsi="黑体" w:eastAsia="黑体"/>
          <w:sz w:val="32"/>
          <w:szCs w:val="32"/>
        </w:rPr>
      </w:pPr>
    </w:p>
    <w:p w14:paraId="2382D65E">
      <w:pPr>
        <w:spacing w:line="600" w:lineRule="exact"/>
        <w:ind w:firstLine="640" w:firstLineChars="200"/>
        <w:rPr>
          <w:rFonts w:hint="eastAsia" w:ascii="黑体" w:hAnsi="黑体" w:eastAsia="黑体"/>
          <w:sz w:val="32"/>
          <w:szCs w:val="32"/>
        </w:rPr>
      </w:pPr>
    </w:p>
    <w:p w14:paraId="3106DC10">
      <w:pPr>
        <w:spacing w:line="600" w:lineRule="exact"/>
        <w:ind w:firstLine="640" w:firstLineChars="200"/>
        <w:rPr>
          <w:rFonts w:hint="eastAsia" w:ascii="黑体" w:hAnsi="黑体" w:eastAsia="黑体"/>
          <w:sz w:val="32"/>
          <w:szCs w:val="32"/>
        </w:rPr>
      </w:pPr>
    </w:p>
    <w:p w14:paraId="34A9845D">
      <w:pPr>
        <w:spacing w:line="600" w:lineRule="exact"/>
        <w:ind w:firstLine="640" w:firstLineChars="200"/>
        <w:rPr>
          <w:rFonts w:hint="eastAsia" w:ascii="黑体" w:hAnsi="黑体" w:eastAsia="黑体"/>
          <w:sz w:val="32"/>
          <w:szCs w:val="32"/>
        </w:rPr>
      </w:pPr>
    </w:p>
    <w:p w14:paraId="59143D7F">
      <w:pPr>
        <w:pStyle w:val="9"/>
        <w:rPr>
          <w:rFonts w:hint="eastAsia" w:ascii="黑体" w:hAnsi="黑体" w:eastAsia="黑体"/>
          <w:sz w:val="32"/>
          <w:szCs w:val="32"/>
        </w:rPr>
      </w:pPr>
    </w:p>
    <w:p w14:paraId="65B62595">
      <w:pPr>
        <w:pStyle w:val="9"/>
        <w:rPr>
          <w:rFonts w:hint="eastAsia" w:ascii="黑体" w:hAnsi="黑体" w:eastAsia="黑体"/>
          <w:sz w:val="32"/>
          <w:szCs w:val="32"/>
        </w:rPr>
      </w:pPr>
    </w:p>
    <w:p w14:paraId="088DCD1C">
      <w:pPr>
        <w:pStyle w:val="9"/>
        <w:rPr>
          <w:rFonts w:hint="eastAsia" w:ascii="黑体" w:hAnsi="黑体" w:eastAsia="黑体"/>
          <w:sz w:val="32"/>
          <w:szCs w:val="32"/>
        </w:rPr>
      </w:pPr>
    </w:p>
    <w:p w14:paraId="09EFBD44">
      <w:pPr>
        <w:keepNext w:val="0"/>
        <w:keepLines w:val="0"/>
        <w:pageBreakBefore w:val="0"/>
        <w:widowControl w:val="0"/>
        <w:kinsoku/>
        <w:wordWrap/>
        <w:overflowPunct/>
        <w:topLinePunct w:val="0"/>
        <w:autoSpaceDE/>
        <w:autoSpaceDN/>
        <w:bidi w:val="0"/>
        <w:spacing w:line="560" w:lineRule="exact"/>
        <w:ind w:firstLine="640" w:firstLineChars="200"/>
        <w:textAlignment w:val="auto"/>
        <w:rPr>
          <w:rStyle w:val="24"/>
          <w:rFonts w:ascii="黑体" w:hAnsi="黑体" w:eastAsia="黑体"/>
          <w:b w:val="0"/>
        </w:rPr>
      </w:pPr>
      <w:r>
        <w:rPr>
          <w:rFonts w:hint="eastAsia" w:ascii="黑体" w:hAnsi="黑体" w:eastAsia="黑体"/>
          <w:sz w:val="32"/>
          <w:szCs w:val="32"/>
        </w:rPr>
        <w:t>五、</w:t>
      </w:r>
      <w:r>
        <w:rPr>
          <w:rFonts w:hint="eastAsia" w:ascii="黑体" w:hAnsi="黑体" w:eastAsia="黑体"/>
          <w:b/>
          <w:sz w:val="32"/>
          <w:szCs w:val="32"/>
        </w:rPr>
        <w:t>一</w:t>
      </w:r>
      <w:r>
        <w:rPr>
          <w:rStyle w:val="24"/>
          <w:rFonts w:hint="eastAsia" w:ascii="黑体" w:hAnsi="黑体" w:eastAsia="黑体"/>
          <w:b w:val="0"/>
        </w:rPr>
        <w:t>般公共预算财政拨款支出决算情况说明</w:t>
      </w:r>
      <w:bookmarkEnd w:id="23"/>
      <w:bookmarkEnd w:id="24"/>
    </w:p>
    <w:p w14:paraId="21974E2D">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2"/>
        <w:rPr>
          <w:rFonts w:hint="eastAsia" w:ascii="楷体_GB2312" w:hAnsi="楷体_GB2312" w:eastAsia="楷体_GB2312" w:cs="楷体_GB2312"/>
          <w:b w:val="0"/>
          <w:bCs/>
          <w:sz w:val="32"/>
          <w:szCs w:val="32"/>
        </w:rPr>
      </w:pPr>
      <w:bookmarkStart w:id="25" w:name="_Toc15377210"/>
      <w:r>
        <w:rPr>
          <w:rFonts w:hint="eastAsia" w:ascii="楷体_GB2312" w:hAnsi="楷体_GB2312" w:eastAsia="楷体_GB2312" w:cs="楷体_GB2312"/>
          <w:b w:val="0"/>
          <w:bCs/>
          <w:sz w:val="32"/>
          <w:szCs w:val="32"/>
        </w:rPr>
        <w:t>（一）一般公共预算财政拨款支出决算总体情况</w:t>
      </w:r>
      <w:bookmarkEnd w:id="25"/>
    </w:p>
    <w:p w14:paraId="7C1C23BE">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sz w:val="32"/>
          <w:szCs w:val="32"/>
        </w:rPr>
      </w:pPr>
      <w:r>
        <w:rPr>
          <w:rFonts w:hint="eastAsia" w:ascii="仿宋" w:hAnsi="仿宋" w:eastAsia="仿宋"/>
          <w:b/>
          <w:color w:val="00B050"/>
          <w:sz w:val="32"/>
          <w:szCs w:val="32"/>
        </w:rPr>
        <w:pict>
          <v:shape id="_x0000_s1030" o:spid="_x0000_s1030" o:spt="75" type="#_x0000_t75" style="position:absolute;left:0pt;margin-left:29.45pt;margin-top:165.75pt;height:222.75pt;width:366.75pt;z-index:-251652096;mso-width-relative:page;mso-height-relative:page;" o:ole="t" filled="f" o:preferrelative="t" stroked="f" coordsize="21600,21600">
            <v:path/>
            <v:fill on="f" focussize="0,0"/>
            <v:stroke on="f"/>
            <v:imagedata r:id="rId32" o:title=""/>
            <o:lock v:ext="edit" aspectratio="t"/>
          </v:shape>
          <o:OLEObject Type="Embed" ProgID="Excel.Chart.8" ShapeID="_x0000_s1030" DrawAspect="Content" ObjectID="_1468075729" r:id="rId31">
            <o:LockedField>false</o:LockedField>
          </o:OLEObject>
        </w:pict>
      </w:r>
      <w:r>
        <w:rPr>
          <w:rFonts w:hint="default" w:ascii="Times New Roman" w:hAnsi="Times New Roman" w:eastAsia="仿宋_GB2312" w:cs="Times New Roman"/>
          <w:sz w:val="32"/>
          <w:szCs w:val="32"/>
        </w:rPr>
        <w:t>20</w:t>
      </w:r>
      <w:r>
        <w:rPr>
          <w:rFonts w:hint="eastAsia"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一般公共预算财政拨款支出</w:t>
      </w:r>
      <w:r>
        <w:rPr>
          <w:rFonts w:hint="eastAsia" w:ascii="Times New Roman" w:hAnsi="Times New Roman" w:eastAsia="仿宋_GB2312" w:cs="Times New Roman"/>
          <w:sz w:val="32"/>
          <w:szCs w:val="32"/>
          <w:lang w:val="en-US" w:eastAsia="zh-CN"/>
        </w:rPr>
        <w:t>3332.01</w:t>
      </w:r>
      <w:r>
        <w:rPr>
          <w:rFonts w:hint="eastAsia" w:ascii="Times New Roman" w:hAnsi="Times New Roman" w:eastAsia="仿宋_GB2312" w:cs="Times New Roman"/>
          <w:sz w:val="32"/>
          <w:szCs w:val="32"/>
        </w:rPr>
        <w:t>万元，</w:t>
      </w:r>
      <w:r>
        <w:rPr>
          <w:rFonts w:hint="eastAsia" w:ascii="Times New Roman" w:hAnsi="Times New Roman" w:eastAsia="仿宋_GB2312" w:cs="Times New Roman"/>
          <w:sz w:val="32"/>
          <w:szCs w:val="32"/>
          <w:lang w:val="en-US" w:eastAsia="zh-CN"/>
        </w:rPr>
        <w:t>约</w:t>
      </w:r>
      <w:r>
        <w:rPr>
          <w:rFonts w:hint="eastAsia" w:ascii="Times New Roman" w:hAnsi="Times New Roman" w:eastAsia="仿宋_GB2312" w:cs="Times New Roman"/>
          <w:sz w:val="32"/>
          <w:szCs w:val="32"/>
        </w:rPr>
        <w:t>占本年支出合计的</w:t>
      </w:r>
      <w:r>
        <w:rPr>
          <w:rFonts w:hint="eastAsia"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。与</w:t>
      </w:r>
      <w:r>
        <w:rPr>
          <w:rFonts w:hint="default" w:ascii="Times New Roman" w:hAnsi="Times New Roman" w:eastAsia="仿宋_GB2312" w:cs="Times New Roman"/>
          <w:sz w:val="32"/>
          <w:szCs w:val="32"/>
        </w:rPr>
        <w:t>20</w:t>
      </w:r>
      <w:r>
        <w:rPr>
          <w:rFonts w:hint="eastAsia" w:ascii="Times New Roman" w:hAnsi="Times New Roman" w:eastAsia="仿宋_GB2312" w:cs="Times New Roman"/>
          <w:sz w:val="32"/>
          <w:szCs w:val="32"/>
          <w:lang w:val="en-US" w:eastAsia="zh-CN"/>
        </w:rPr>
        <w:t>23</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相比，一般公共预算财政拨款增加</w:t>
      </w:r>
      <w:r>
        <w:rPr>
          <w:rFonts w:hint="eastAsia" w:ascii="Times New Roman" w:hAnsi="Times New Roman" w:eastAsia="仿宋_GB2312" w:cs="Times New Roman"/>
          <w:sz w:val="32"/>
          <w:szCs w:val="32"/>
          <w:lang w:val="en-US" w:eastAsia="zh-CN"/>
        </w:rPr>
        <w:t>322.66</w:t>
      </w:r>
      <w:r>
        <w:rPr>
          <w:rFonts w:hint="eastAsia" w:ascii="Times New Roman" w:hAnsi="Times New Roman" w:eastAsia="仿宋_GB2312" w:cs="Times New Roman"/>
          <w:sz w:val="32"/>
          <w:szCs w:val="32"/>
        </w:rPr>
        <w:t>万元，增长</w:t>
      </w:r>
      <w:r>
        <w:rPr>
          <w:rFonts w:hint="eastAsia" w:ascii="Times New Roman" w:hAnsi="Times New Roman" w:eastAsia="仿宋_GB2312" w:cs="Times New Roman"/>
          <w:sz w:val="32"/>
          <w:szCs w:val="32"/>
          <w:lang w:val="en-US" w:eastAsia="zh-CN"/>
        </w:rPr>
        <w:t>10.72</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主要变动原因是</w:t>
      </w:r>
      <w:r>
        <w:rPr>
          <w:rFonts w:hint="default" w:ascii="Times New Roman" w:hAnsi="Times New Roman" w:eastAsia="仿宋_GB2312" w:cs="Times New Roman"/>
          <w:sz w:val="32"/>
          <w:szCs w:val="32"/>
          <w:lang w:eastAsia="zh-CN"/>
        </w:rPr>
        <w:t>基本</w:t>
      </w:r>
      <w:r>
        <w:rPr>
          <w:rFonts w:hint="default" w:ascii="Times New Roman" w:hAnsi="Times New Roman" w:eastAsia="仿宋_GB2312" w:cs="Times New Roman"/>
          <w:sz w:val="32"/>
          <w:szCs w:val="32"/>
          <w:lang w:val="en-US" w:eastAsia="zh-CN"/>
        </w:rPr>
        <w:t>支出中人员经费</w:t>
      </w:r>
      <w:r>
        <w:rPr>
          <w:rFonts w:hint="eastAsia" w:ascii="Times New Roman" w:hAnsi="Times New Roman" w:eastAsia="仿宋_GB2312" w:cs="Times New Roman"/>
          <w:sz w:val="32"/>
          <w:szCs w:val="32"/>
          <w:lang w:val="en-US" w:eastAsia="zh-CN"/>
        </w:rPr>
        <w:t>及定额公用经费</w:t>
      </w:r>
      <w:r>
        <w:rPr>
          <w:rFonts w:hint="default" w:ascii="Times New Roman" w:hAnsi="Times New Roman" w:eastAsia="仿宋_GB2312" w:cs="Times New Roman"/>
          <w:sz w:val="32"/>
          <w:szCs w:val="32"/>
          <w:lang w:val="en-US" w:eastAsia="zh-CN"/>
        </w:rPr>
        <w:t>较上年增加</w:t>
      </w:r>
      <w:r>
        <w:rPr>
          <w:rFonts w:hint="eastAsia" w:ascii="Times New Roman" w:hAnsi="Times New Roman" w:eastAsia="仿宋_GB2312" w:cs="Times New Roman"/>
          <w:sz w:val="32"/>
          <w:szCs w:val="32"/>
          <w:lang w:val="en-US" w:eastAsia="zh-CN"/>
        </w:rPr>
        <w:t>约70万元，中央资金较上年增加75万元，新增药品许可检查及核查（上市前）项目159万元。</w:t>
      </w:r>
    </w:p>
    <w:p w14:paraId="1B9C58DA">
      <w:pPr>
        <w:spacing w:line="600" w:lineRule="exact"/>
        <w:ind w:firstLine="640" w:firstLineChars="200"/>
        <w:rPr>
          <w:rFonts w:hint="eastAsia" w:ascii="仿宋" w:hAnsi="仿宋" w:eastAsia="仿宋"/>
          <w:sz w:val="32"/>
          <w:szCs w:val="32"/>
        </w:rPr>
      </w:pPr>
    </w:p>
    <w:p w14:paraId="7DEC965D">
      <w:pPr>
        <w:pStyle w:val="9"/>
        <w:jc w:val="center"/>
        <w:rPr>
          <w:rFonts w:hint="eastAsia" w:ascii="仿宋" w:hAnsi="仿宋" w:eastAsia="仿宋"/>
          <w:sz w:val="32"/>
          <w:szCs w:val="32"/>
        </w:rPr>
      </w:pPr>
    </w:p>
    <w:p w14:paraId="11EFACB1">
      <w:pPr>
        <w:pStyle w:val="9"/>
        <w:jc w:val="center"/>
        <w:rPr>
          <w:rFonts w:hint="eastAsia" w:ascii="仿宋" w:hAnsi="仿宋" w:eastAsia="仿宋"/>
          <w:sz w:val="32"/>
          <w:szCs w:val="32"/>
        </w:rPr>
      </w:pPr>
    </w:p>
    <w:p w14:paraId="5E2CB45C">
      <w:pPr>
        <w:pStyle w:val="9"/>
        <w:jc w:val="center"/>
        <w:rPr>
          <w:rFonts w:hint="eastAsia" w:ascii="仿宋" w:hAnsi="仿宋" w:eastAsia="仿宋"/>
          <w:sz w:val="32"/>
          <w:szCs w:val="32"/>
        </w:rPr>
      </w:pPr>
    </w:p>
    <w:p w14:paraId="5DA8FF14">
      <w:pPr>
        <w:pStyle w:val="9"/>
        <w:jc w:val="center"/>
        <w:rPr>
          <w:rFonts w:hint="eastAsia" w:ascii="仿宋" w:hAnsi="仿宋" w:eastAsia="仿宋"/>
          <w:sz w:val="32"/>
          <w:szCs w:val="32"/>
        </w:rPr>
      </w:pPr>
    </w:p>
    <w:p w14:paraId="6469ECCB">
      <w:pPr>
        <w:keepNext w:val="0"/>
        <w:keepLines w:val="0"/>
        <w:pageBreakBefore w:val="0"/>
        <w:widowControl w:val="0"/>
        <w:kinsoku/>
        <w:wordWrap/>
        <w:overflowPunct/>
        <w:topLinePunct w:val="0"/>
        <w:autoSpaceDE/>
        <w:autoSpaceDN/>
        <w:bidi w:val="0"/>
        <w:spacing w:line="560" w:lineRule="exact"/>
        <w:textAlignment w:val="auto"/>
        <w:outlineLvl w:val="2"/>
        <w:rPr>
          <w:rFonts w:hint="eastAsia" w:ascii="楷体_GB2312" w:hAnsi="楷体_GB2312" w:eastAsia="楷体_GB2312" w:cs="楷体_GB2312"/>
          <w:b w:val="0"/>
          <w:bCs/>
          <w:sz w:val="32"/>
          <w:szCs w:val="32"/>
        </w:rPr>
      </w:pPr>
      <w:bookmarkStart w:id="26" w:name="_Toc15377211"/>
    </w:p>
    <w:p w14:paraId="2E8C216C">
      <w:pPr>
        <w:pStyle w:val="2"/>
        <w:rPr>
          <w:rFonts w:hint="eastAsia" w:ascii="楷体_GB2312" w:hAnsi="楷体_GB2312" w:eastAsia="楷体_GB2312" w:cs="楷体_GB2312"/>
          <w:b w:val="0"/>
          <w:bCs/>
          <w:sz w:val="32"/>
          <w:szCs w:val="32"/>
        </w:rPr>
      </w:pPr>
    </w:p>
    <w:p w14:paraId="4ADDFB20">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2"/>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（二）</w:t>
      </w:r>
      <w:r>
        <w:rPr>
          <w:rFonts w:hint="eastAsia" w:ascii="楷体_GB2312" w:hAnsi="楷体_GB2312" w:eastAsia="楷体_GB2312" w:cs="楷体_GB2312"/>
          <w:b w:val="0"/>
          <w:bCs/>
          <w:sz w:val="32"/>
          <w:szCs w:val="32"/>
        </w:rPr>
        <w:t>一般公共预算财政拨款支出决算结构情况</w:t>
      </w:r>
      <w:bookmarkEnd w:id="26"/>
    </w:p>
    <w:p w14:paraId="500D8E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20</w:t>
      </w:r>
      <w:r>
        <w:rPr>
          <w:rFonts w:hint="eastAsia"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一般公共预算财政拨款支出</w:t>
      </w:r>
      <w:r>
        <w:rPr>
          <w:rFonts w:hint="eastAsia" w:ascii="Times New Roman" w:hAnsi="Times New Roman" w:eastAsia="仿宋_GB2312" w:cs="Times New Roman"/>
          <w:sz w:val="32"/>
          <w:szCs w:val="32"/>
          <w:lang w:val="en-US" w:eastAsia="zh-CN"/>
        </w:rPr>
        <w:t>3332.01</w:t>
      </w:r>
      <w:r>
        <w:rPr>
          <w:rFonts w:hint="eastAsia" w:ascii="Times New Roman" w:hAnsi="Times New Roman" w:eastAsia="仿宋_GB2312" w:cs="Times New Roman"/>
          <w:sz w:val="32"/>
          <w:szCs w:val="32"/>
        </w:rPr>
        <w:t>万元，主要用于以下方面</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一般公共服务（类）支出</w:t>
      </w:r>
      <w:r>
        <w:rPr>
          <w:rFonts w:hint="eastAsia" w:ascii="Times New Roman" w:hAnsi="Times New Roman" w:eastAsia="仿宋_GB2312" w:cs="Times New Roman"/>
          <w:sz w:val="32"/>
          <w:szCs w:val="32"/>
          <w:lang w:val="en-US" w:eastAsia="zh-CN"/>
        </w:rPr>
        <w:t>2683.63</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80.54</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；教育支出（类）</w:t>
      </w:r>
      <w:r>
        <w:rPr>
          <w:rFonts w:hint="eastAsia" w:ascii="Times New Roman" w:hAnsi="Times New Roman" w:eastAsia="仿宋_GB2312" w:cs="Times New Roman"/>
          <w:sz w:val="32"/>
          <w:szCs w:val="32"/>
          <w:lang w:val="en-US" w:eastAsia="zh-CN"/>
        </w:rPr>
        <w:t>30.46</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0.91</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；科学技术（类）支出0万元，占0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；文化旅游体育与传媒（类）支出0万元，占0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；社会保障和就业（类）支出</w:t>
      </w:r>
      <w:r>
        <w:rPr>
          <w:rFonts w:hint="eastAsia" w:ascii="Times New Roman" w:hAnsi="Times New Roman" w:eastAsia="仿宋_GB2312" w:cs="Times New Roman"/>
          <w:sz w:val="32"/>
          <w:szCs w:val="32"/>
          <w:lang w:val="en-US" w:eastAsia="zh-CN"/>
        </w:rPr>
        <w:t>205.05</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6.15</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；卫生健康支出</w:t>
      </w:r>
      <w:r>
        <w:rPr>
          <w:rFonts w:hint="eastAsia" w:ascii="Times New Roman" w:hAnsi="Times New Roman" w:eastAsia="仿宋_GB2312" w:cs="Times New Roman"/>
          <w:sz w:val="32"/>
          <w:szCs w:val="32"/>
          <w:lang w:val="en-US" w:eastAsia="zh-CN"/>
        </w:rPr>
        <w:t>122.83</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3.69</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；住房保障支出</w:t>
      </w:r>
      <w:r>
        <w:rPr>
          <w:rFonts w:hint="eastAsia" w:ascii="Times New Roman" w:hAnsi="Times New Roman" w:eastAsia="仿宋_GB2312" w:cs="Times New Roman"/>
          <w:sz w:val="32"/>
          <w:szCs w:val="32"/>
          <w:lang w:val="en-US" w:eastAsia="zh-CN"/>
        </w:rPr>
        <w:t>290.04</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8.71</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14:paraId="28A270F3">
      <w:pPr>
        <w:pStyle w:val="2"/>
        <w:keepNext w:val="0"/>
        <w:keepLines w:val="0"/>
        <w:pageBreakBefore w:val="0"/>
        <w:widowControl w:val="0"/>
        <w:kinsoku/>
        <w:wordWrap/>
        <w:overflowPunct/>
        <w:topLinePunct w:val="0"/>
        <w:autoSpaceDE/>
        <w:autoSpaceDN/>
        <w:bidi w:val="0"/>
        <w:adjustRightInd w:val="0"/>
        <w:snapToGrid w:val="0"/>
        <w:spacing w:beforeLines="0" w:line="560" w:lineRule="exact"/>
        <w:ind w:firstLine="640" w:firstLineChars="200"/>
        <w:textAlignment w:val="auto"/>
        <w:outlineLvl w:val="2"/>
        <w:rPr>
          <w:rFonts w:hint="eastAsia"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pict>
          <v:shape id="Object 70" o:spid="_x0000_s1029" o:spt="75" type="#_x0000_t75" style="position:absolute;left:0pt;margin-left:-16.8pt;margin-top:8.1pt;height:219.15pt;width:449.35pt;z-index:251668480;mso-width-relative:page;mso-height-relative:page;" o:ole="t" filled="f" o:preferrelative="t" stroked="f" coordsize="21600,21600">
            <v:path/>
            <v:fill on="f" focussize="0,0"/>
            <v:stroke on="f"/>
            <v:imagedata r:id="rId34" o:title=""/>
            <o:lock v:ext="edit" aspectratio="t"/>
          </v:shape>
          <o:OLEObject Type="Embed" ProgID="Excel.Chart.8" ShapeID="Object 70" DrawAspect="Content" ObjectID="_1468075730" r:id="rId33">
            <o:LockedField>false</o:LockedField>
          </o:OLEObject>
        </w:pict>
      </w:r>
    </w:p>
    <w:p w14:paraId="65969209">
      <w:pPr>
        <w:pStyle w:val="2"/>
        <w:keepNext w:val="0"/>
        <w:keepLines w:val="0"/>
        <w:pageBreakBefore w:val="0"/>
        <w:widowControl w:val="0"/>
        <w:kinsoku/>
        <w:wordWrap/>
        <w:overflowPunct/>
        <w:topLinePunct w:val="0"/>
        <w:autoSpaceDE/>
        <w:autoSpaceDN/>
        <w:bidi w:val="0"/>
        <w:adjustRightInd w:val="0"/>
        <w:snapToGrid w:val="0"/>
        <w:spacing w:beforeLines="0" w:line="560" w:lineRule="exact"/>
        <w:ind w:firstLine="640" w:firstLineChars="200"/>
        <w:textAlignment w:val="auto"/>
        <w:outlineLvl w:val="2"/>
        <w:rPr>
          <w:rFonts w:hint="eastAsia" w:ascii="楷体_GB2312" w:hAnsi="楷体_GB2312" w:eastAsia="楷体_GB2312" w:cs="楷体_GB2312"/>
          <w:b w:val="0"/>
          <w:bCs/>
          <w:kern w:val="2"/>
          <w:sz w:val="32"/>
          <w:szCs w:val="32"/>
          <w:lang w:val="en-US" w:eastAsia="zh-CN" w:bidi="ar-SA"/>
        </w:rPr>
      </w:pPr>
    </w:p>
    <w:p w14:paraId="235422FB">
      <w:pPr>
        <w:pStyle w:val="2"/>
        <w:keepNext w:val="0"/>
        <w:keepLines w:val="0"/>
        <w:pageBreakBefore w:val="0"/>
        <w:widowControl w:val="0"/>
        <w:kinsoku/>
        <w:wordWrap/>
        <w:overflowPunct/>
        <w:topLinePunct w:val="0"/>
        <w:autoSpaceDE/>
        <w:autoSpaceDN/>
        <w:bidi w:val="0"/>
        <w:adjustRightInd w:val="0"/>
        <w:snapToGrid w:val="0"/>
        <w:spacing w:beforeLines="0" w:line="560" w:lineRule="exact"/>
        <w:ind w:firstLine="640" w:firstLineChars="200"/>
        <w:textAlignment w:val="auto"/>
        <w:outlineLvl w:val="2"/>
        <w:rPr>
          <w:rFonts w:hint="eastAsia" w:ascii="楷体_GB2312" w:hAnsi="楷体_GB2312" w:eastAsia="楷体_GB2312" w:cs="楷体_GB2312"/>
          <w:b w:val="0"/>
          <w:bCs/>
          <w:kern w:val="2"/>
          <w:sz w:val="32"/>
          <w:szCs w:val="32"/>
          <w:lang w:val="en-US" w:eastAsia="zh-CN" w:bidi="ar-SA"/>
        </w:rPr>
      </w:pPr>
    </w:p>
    <w:p w14:paraId="55A8F26B">
      <w:pPr>
        <w:pStyle w:val="2"/>
        <w:keepNext w:val="0"/>
        <w:keepLines w:val="0"/>
        <w:pageBreakBefore w:val="0"/>
        <w:widowControl w:val="0"/>
        <w:kinsoku/>
        <w:wordWrap/>
        <w:overflowPunct/>
        <w:topLinePunct w:val="0"/>
        <w:autoSpaceDE/>
        <w:autoSpaceDN/>
        <w:bidi w:val="0"/>
        <w:adjustRightInd w:val="0"/>
        <w:snapToGrid w:val="0"/>
        <w:spacing w:beforeLines="0" w:line="560" w:lineRule="exact"/>
        <w:ind w:firstLine="640" w:firstLineChars="200"/>
        <w:textAlignment w:val="auto"/>
        <w:outlineLvl w:val="2"/>
        <w:rPr>
          <w:rFonts w:hint="eastAsia" w:ascii="楷体_GB2312" w:hAnsi="楷体_GB2312" w:eastAsia="楷体_GB2312" w:cs="楷体_GB2312"/>
          <w:b w:val="0"/>
          <w:bCs/>
          <w:kern w:val="2"/>
          <w:sz w:val="32"/>
          <w:szCs w:val="32"/>
          <w:lang w:val="en-US" w:eastAsia="zh-CN" w:bidi="ar-SA"/>
        </w:rPr>
      </w:pPr>
    </w:p>
    <w:p w14:paraId="1CA4A17A">
      <w:pPr>
        <w:pStyle w:val="2"/>
        <w:keepNext w:val="0"/>
        <w:keepLines w:val="0"/>
        <w:pageBreakBefore w:val="0"/>
        <w:widowControl w:val="0"/>
        <w:kinsoku/>
        <w:wordWrap/>
        <w:overflowPunct/>
        <w:topLinePunct w:val="0"/>
        <w:autoSpaceDE/>
        <w:autoSpaceDN/>
        <w:bidi w:val="0"/>
        <w:adjustRightInd w:val="0"/>
        <w:snapToGrid w:val="0"/>
        <w:spacing w:beforeLines="0" w:line="560" w:lineRule="exact"/>
        <w:ind w:firstLine="640" w:firstLineChars="200"/>
        <w:textAlignment w:val="auto"/>
        <w:outlineLvl w:val="2"/>
        <w:rPr>
          <w:rFonts w:hint="eastAsia" w:ascii="楷体_GB2312" w:hAnsi="楷体_GB2312" w:eastAsia="楷体_GB2312" w:cs="楷体_GB2312"/>
          <w:b w:val="0"/>
          <w:bCs/>
          <w:kern w:val="2"/>
          <w:sz w:val="32"/>
          <w:szCs w:val="32"/>
          <w:lang w:val="en-US" w:eastAsia="zh-CN" w:bidi="ar-SA"/>
        </w:rPr>
      </w:pPr>
    </w:p>
    <w:p w14:paraId="1F45DD44">
      <w:pPr>
        <w:pStyle w:val="2"/>
        <w:keepNext w:val="0"/>
        <w:keepLines w:val="0"/>
        <w:pageBreakBefore w:val="0"/>
        <w:widowControl w:val="0"/>
        <w:kinsoku/>
        <w:wordWrap/>
        <w:overflowPunct/>
        <w:topLinePunct w:val="0"/>
        <w:autoSpaceDE/>
        <w:autoSpaceDN/>
        <w:bidi w:val="0"/>
        <w:adjustRightInd w:val="0"/>
        <w:snapToGrid w:val="0"/>
        <w:spacing w:beforeLines="0" w:line="560" w:lineRule="exact"/>
        <w:textAlignment w:val="auto"/>
        <w:outlineLvl w:val="2"/>
        <w:rPr>
          <w:rFonts w:hint="eastAsia" w:ascii="楷体_GB2312" w:hAnsi="楷体_GB2312" w:eastAsia="楷体_GB2312" w:cs="楷体_GB2312"/>
          <w:b w:val="0"/>
          <w:bCs/>
          <w:kern w:val="2"/>
          <w:sz w:val="32"/>
          <w:szCs w:val="32"/>
          <w:lang w:val="en-US" w:eastAsia="zh-CN" w:bidi="ar-SA"/>
        </w:rPr>
      </w:pPr>
    </w:p>
    <w:p w14:paraId="6AC94F6D">
      <w:pPr>
        <w:pStyle w:val="2"/>
        <w:keepNext w:val="0"/>
        <w:keepLines w:val="0"/>
        <w:pageBreakBefore w:val="0"/>
        <w:widowControl w:val="0"/>
        <w:kinsoku/>
        <w:wordWrap/>
        <w:overflowPunct/>
        <w:topLinePunct w:val="0"/>
        <w:autoSpaceDE/>
        <w:autoSpaceDN/>
        <w:bidi w:val="0"/>
        <w:adjustRightInd w:val="0"/>
        <w:snapToGrid w:val="0"/>
        <w:spacing w:beforeLines="0" w:line="560" w:lineRule="exact"/>
        <w:ind w:firstLine="640" w:firstLineChars="200"/>
        <w:textAlignment w:val="auto"/>
        <w:outlineLvl w:val="2"/>
        <w:rPr>
          <w:rFonts w:hint="eastAsia" w:ascii="楷体_GB2312" w:hAnsi="楷体_GB2312" w:eastAsia="楷体_GB2312" w:cs="楷体_GB2312"/>
          <w:b w:val="0"/>
          <w:bCs/>
          <w:kern w:val="2"/>
          <w:sz w:val="32"/>
          <w:szCs w:val="32"/>
          <w:lang w:val="en-US" w:eastAsia="zh-CN" w:bidi="ar-SA"/>
        </w:rPr>
      </w:pPr>
      <w:bookmarkStart w:id="27" w:name="_Toc15377212"/>
      <w:r>
        <w:rPr>
          <w:rFonts w:hint="eastAsia" w:ascii="楷体_GB2312" w:hAnsi="楷体_GB2312" w:eastAsia="楷体_GB2312" w:cs="楷体_GB2312"/>
          <w:b w:val="0"/>
          <w:bCs/>
          <w:kern w:val="2"/>
          <w:sz w:val="32"/>
          <w:szCs w:val="32"/>
          <w:lang w:val="en-US" w:eastAsia="zh-CN" w:bidi="ar-SA"/>
        </w:rPr>
        <w:t>（三）一般公共预算财政拨款支出决算具体情况</w:t>
      </w:r>
      <w:bookmarkEnd w:id="27"/>
    </w:p>
    <w:p w14:paraId="2A12042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bookmarkStart w:id="28" w:name="_Toc15378460"/>
      <w:bookmarkStart w:id="29" w:name="_Toc15377213"/>
      <w:bookmarkStart w:id="30" w:name="_Toc15377444"/>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一般公共预算支出决算数为</w:t>
      </w:r>
      <w:r>
        <w:rPr>
          <w:rFonts w:hint="eastAsia" w:ascii="Times New Roman" w:hAnsi="Times New Roman" w:eastAsia="仿宋_GB2312" w:cs="Times New Roman"/>
          <w:sz w:val="32"/>
          <w:szCs w:val="32"/>
          <w:lang w:val="en-US" w:eastAsia="zh-CN"/>
        </w:rPr>
        <w:t>3332.01</w:t>
      </w:r>
      <w:r>
        <w:rPr>
          <w:rFonts w:hint="eastAsia" w:ascii="Times New Roman" w:hAnsi="Times New Roman" w:eastAsia="仿宋_GB2312" w:cs="Times New Roman"/>
          <w:sz w:val="32"/>
          <w:szCs w:val="32"/>
        </w:rPr>
        <w:t>万元，</w:t>
      </w:r>
      <w:r>
        <w:rPr>
          <w:rFonts w:hint="eastAsia" w:ascii="Times New Roman" w:hAnsi="Times New Roman" w:eastAsia="仿宋_GB2312" w:cs="Times New Roman"/>
          <w:sz w:val="32"/>
          <w:szCs w:val="32"/>
          <w:lang w:val="en-US" w:eastAsia="zh-CN"/>
        </w:rPr>
        <w:t>约</w:t>
      </w:r>
      <w:r>
        <w:rPr>
          <w:rFonts w:hint="eastAsia" w:ascii="Times New Roman" w:hAnsi="Times New Roman" w:eastAsia="仿宋_GB2312" w:cs="Times New Roman"/>
          <w:sz w:val="32"/>
          <w:szCs w:val="32"/>
        </w:rPr>
        <w:t>完成预算</w:t>
      </w:r>
      <w:r>
        <w:rPr>
          <w:rFonts w:hint="eastAsia"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。其中：</w:t>
      </w:r>
      <w:bookmarkEnd w:id="28"/>
      <w:bookmarkEnd w:id="29"/>
      <w:bookmarkEnd w:id="30"/>
    </w:p>
    <w:p w14:paraId="5FB220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1.一般公共服务（类）市场监督管理事务（款）行政运行（项）</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1418.64</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92.43</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，决算数小于预算数的主要原因是零星结余指标财政收回注销。</w:t>
      </w:r>
    </w:p>
    <w:p w14:paraId="675A88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一般公共服务（类）市场监督管理事务（款）信息化建设（项）</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84.78</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99.74</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决算数小于预算数的主要原因是零星结余指标财政收回注销。</w:t>
      </w:r>
    </w:p>
    <w:p w14:paraId="7AA5ED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一般公共服务（类）市场监督管理事务（款）药品事务（项</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380.7</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p>
    <w:p w14:paraId="51D795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一般公共服务（类）市场监督管理事务（款）医疗器械事务（项）</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96.59</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99.99</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，决算数小于预算数的主要原因是零星结余指标财政收回注销。</w:t>
      </w:r>
    </w:p>
    <w:p w14:paraId="5BBE32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一般公共服务（类）市场监督管理事务（款）化妆品事务（项）</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0.7</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p>
    <w:p w14:paraId="462DDF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6.一般公共服务（类）市场监督管理事务（款）其他市场监督管理事务（项）：支出决算为702.21万元，完成预算98.07%，</w:t>
      </w:r>
      <w:r>
        <w:rPr>
          <w:rFonts w:hint="eastAsia" w:ascii="Times New Roman" w:hAnsi="Times New Roman" w:eastAsia="仿宋_GB2312" w:cs="Times New Roman"/>
          <w:sz w:val="32"/>
          <w:szCs w:val="32"/>
        </w:rPr>
        <w:t>决算数小于预算数的主要原因是零星结余指标财政收回注销</w:t>
      </w:r>
      <w:r>
        <w:rPr>
          <w:rFonts w:hint="eastAsia" w:ascii="Times New Roman" w:hAnsi="Times New Roman" w:eastAsia="仿宋_GB2312" w:cs="Times New Roman"/>
          <w:sz w:val="32"/>
          <w:szCs w:val="32"/>
          <w:lang w:val="en-US" w:eastAsia="zh-CN"/>
        </w:rPr>
        <w:t>。</w:t>
      </w:r>
    </w:p>
    <w:p w14:paraId="3A21C2B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7</w:t>
      </w:r>
      <w:r>
        <w:rPr>
          <w:rFonts w:hint="eastAsia" w:ascii="Times New Roman" w:hAnsi="Times New Roman" w:eastAsia="仿宋_GB2312" w:cs="Times New Roman"/>
          <w:sz w:val="32"/>
          <w:szCs w:val="32"/>
        </w:rPr>
        <w:t>.社会保障和就业（类）行政事业单位养老支出（款）行政单位离退休（项）</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37.63</w:t>
      </w:r>
      <w:r>
        <w:rPr>
          <w:rFonts w:hint="eastAsia" w:ascii="Times New Roman" w:hAnsi="Times New Roman" w:eastAsia="仿宋_GB2312" w:cs="Times New Roman"/>
          <w:sz w:val="32"/>
          <w:szCs w:val="32"/>
        </w:rPr>
        <w:t>万元，</w:t>
      </w:r>
      <w:r>
        <w:rPr>
          <w:rFonts w:hint="eastAsia" w:ascii="Times New Roman" w:hAnsi="Times New Roman" w:eastAsia="仿宋_GB2312" w:cs="Times New Roman"/>
          <w:sz w:val="32"/>
          <w:szCs w:val="32"/>
          <w:lang w:val="en-US" w:eastAsia="zh-CN"/>
        </w:rPr>
        <w:t>完成预算99.68%，</w:t>
      </w:r>
      <w:r>
        <w:rPr>
          <w:rFonts w:hint="eastAsia" w:ascii="Times New Roman" w:hAnsi="Times New Roman" w:eastAsia="仿宋_GB2312" w:cs="Times New Roman"/>
          <w:sz w:val="32"/>
          <w:szCs w:val="32"/>
        </w:rPr>
        <w:t>决算数小于预算数的主要原因是零星结余指标财政收回注销。</w:t>
      </w:r>
    </w:p>
    <w:p w14:paraId="3A7296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8</w:t>
      </w:r>
      <w:r>
        <w:rPr>
          <w:rFonts w:hint="eastAsia" w:ascii="Times New Roman" w:hAnsi="Times New Roman" w:eastAsia="仿宋_GB2312" w:cs="Times New Roman"/>
          <w:sz w:val="32"/>
          <w:szCs w:val="32"/>
        </w:rPr>
        <w:t>.社会保障和就业（类）行政事业单位养老支出（款）机关事业单位基本养老保险缴费支出（项）</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158.11</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14:paraId="2904B5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9</w:t>
      </w:r>
      <w:r>
        <w:rPr>
          <w:rFonts w:hint="eastAsia" w:ascii="Times New Roman" w:hAnsi="Times New Roman" w:eastAsia="仿宋_GB2312" w:cs="Times New Roman"/>
          <w:sz w:val="32"/>
          <w:szCs w:val="32"/>
        </w:rPr>
        <w:t>.社会保障和就业（类）行政事业单位养老支出（款）机关事业单位</w:t>
      </w:r>
      <w:r>
        <w:rPr>
          <w:rFonts w:hint="eastAsia" w:ascii="Times New Roman" w:hAnsi="Times New Roman" w:eastAsia="仿宋_GB2312" w:cs="Times New Roman"/>
          <w:sz w:val="32"/>
          <w:szCs w:val="32"/>
          <w:lang w:val="en-US" w:eastAsia="zh-CN"/>
        </w:rPr>
        <w:t>职业年金缴费支出</w:t>
      </w:r>
      <w:r>
        <w:rPr>
          <w:rFonts w:hint="eastAsia" w:ascii="Times New Roman" w:hAnsi="Times New Roman" w:eastAsia="仿宋_GB2312" w:cs="Times New Roman"/>
          <w:sz w:val="32"/>
          <w:szCs w:val="32"/>
        </w:rPr>
        <w:t>（项）</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9.32</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14:paraId="250226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rPr>
        <w:t>.卫生健康（类）行政事业单位医疗（款）行政单位医疗（项）</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107.55</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14:paraId="789EDF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11</w:t>
      </w:r>
      <w:r>
        <w:rPr>
          <w:rFonts w:hint="eastAsia" w:ascii="Times New Roman" w:hAnsi="Times New Roman" w:eastAsia="仿宋_GB2312" w:cs="Times New Roman"/>
          <w:sz w:val="32"/>
          <w:szCs w:val="32"/>
        </w:rPr>
        <w:t>.卫生健康（类）行政事业单位医疗（款）公务员医疗补助（项）</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15.28</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14:paraId="0E2691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rPr>
      </w:pPr>
      <w:r>
        <w:rPr>
          <w:rFonts w:hint="eastAsia" w:ascii="Times New Roman" w:hAnsi="Times New Roman" w:eastAsia="仿宋_GB2312" w:cs="Times New Roman"/>
          <w:sz w:val="32"/>
          <w:szCs w:val="32"/>
          <w:lang w:val="en-US" w:eastAsia="zh-CN"/>
        </w:rPr>
        <w:t>12</w:t>
      </w:r>
      <w:r>
        <w:rPr>
          <w:rFonts w:hint="eastAsia" w:ascii="Times New Roman" w:hAnsi="Times New Roman" w:eastAsia="仿宋_GB2312" w:cs="Times New Roman"/>
          <w:sz w:val="32"/>
          <w:szCs w:val="32"/>
        </w:rPr>
        <w:t>.住房保障（类）住房改革支出（款）住房公积金（项）</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131.59</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95.84</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。决算数小于预算数的主要原因是零星结余指标财政收回注销</w:t>
      </w:r>
      <w:r>
        <w:rPr>
          <w:rFonts w:hint="eastAsia" w:ascii="Times New Roman" w:hAnsi="Times New Roman" w:eastAsia="仿宋_GB2312" w:cs="Times New Roman"/>
          <w:sz w:val="32"/>
          <w:szCs w:val="32"/>
          <w:lang w:val="en-US" w:eastAsia="zh-CN"/>
        </w:rPr>
        <w:t>。</w:t>
      </w:r>
    </w:p>
    <w:p w14:paraId="3D42AE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13</w:t>
      </w:r>
      <w:r>
        <w:rPr>
          <w:rFonts w:hint="eastAsia" w:ascii="Times New Roman" w:hAnsi="Times New Roman" w:eastAsia="仿宋_GB2312" w:cs="Times New Roman"/>
          <w:sz w:val="32"/>
          <w:szCs w:val="32"/>
        </w:rPr>
        <w:t>.住房保障（类）住房改革支出（款）</w:t>
      </w:r>
      <w:r>
        <w:rPr>
          <w:rFonts w:hint="eastAsia" w:ascii="Times New Roman" w:hAnsi="Times New Roman" w:eastAsia="仿宋_GB2312" w:cs="Times New Roman"/>
          <w:sz w:val="32"/>
          <w:szCs w:val="32"/>
          <w:lang w:val="en-US" w:eastAsia="zh-CN"/>
        </w:rPr>
        <w:t>购房补贴</w:t>
      </w:r>
      <w:r>
        <w:rPr>
          <w:rFonts w:hint="eastAsia" w:ascii="Times New Roman" w:hAnsi="Times New Roman" w:eastAsia="仿宋_GB2312" w:cs="Times New Roman"/>
          <w:sz w:val="32"/>
          <w:szCs w:val="32"/>
        </w:rPr>
        <w:t>（项）</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158.45</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98.84</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。决算数小于预算数的主要原因是零星结余指标财政收回注销</w:t>
      </w:r>
      <w:r>
        <w:rPr>
          <w:rFonts w:hint="eastAsia" w:ascii="Times New Roman" w:hAnsi="Times New Roman" w:eastAsia="仿宋_GB2312" w:cs="Times New Roman"/>
          <w:sz w:val="32"/>
          <w:szCs w:val="32"/>
          <w:lang w:val="en-US" w:eastAsia="zh-CN"/>
        </w:rPr>
        <w:t>。</w:t>
      </w:r>
    </w:p>
    <w:p w14:paraId="2E0035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14</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教育</w:t>
      </w:r>
      <w:r>
        <w:rPr>
          <w:rFonts w:hint="eastAsia" w:ascii="Times New Roman" w:hAnsi="Times New Roman" w:eastAsia="仿宋_GB2312" w:cs="Times New Roman"/>
          <w:sz w:val="32"/>
          <w:szCs w:val="32"/>
        </w:rPr>
        <w:t>（类）</w:t>
      </w:r>
      <w:r>
        <w:rPr>
          <w:rFonts w:hint="eastAsia" w:ascii="Times New Roman" w:hAnsi="Times New Roman" w:eastAsia="仿宋_GB2312" w:cs="Times New Roman"/>
          <w:sz w:val="32"/>
          <w:szCs w:val="32"/>
          <w:lang w:val="en-US" w:eastAsia="zh-CN"/>
        </w:rPr>
        <w:t>进修及培训</w:t>
      </w:r>
      <w:r>
        <w:rPr>
          <w:rFonts w:hint="eastAsia" w:ascii="Times New Roman" w:hAnsi="Times New Roman" w:eastAsia="仿宋_GB2312" w:cs="Times New Roman"/>
          <w:sz w:val="32"/>
          <w:szCs w:val="32"/>
        </w:rPr>
        <w:t>（款）</w:t>
      </w:r>
      <w:r>
        <w:rPr>
          <w:rFonts w:hint="eastAsia" w:ascii="Times New Roman" w:hAnsi="Times New Roman" w:eastAsia="仿宋_GB2312" w:cs="Times New Roman"/>
          <w:sz w:val="32"/>
          <w:szCs w:val="32"/>
          <w:lang w:val="en-US" w:eastAsia="zh-CN"/>
        </w:rPr>
        <w:t>培训支出</w:t>
      </w:r>
      <w:r>
        <w:rPr>
          <w:rFonts w:hint="eastAsia" w:ascii="Times New Roman" w:hAnsi="Times New Roman" w:eastAsia="仿宋_GB2312" w:cs="Times New Roman"/>
          <w:sz w:val="32"/>
          <w:szCs w:val="32"/>
        </w:rPr>
        <w:t>（项）</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30.46</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87.03</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。决算数小于预算数的主要原因是</w:t>
      </w:r>
      <w:r>
        <w:rPr>
          <w:rFonts w:hint="eastAsia" w:ascii="Times New Roman" w:hAnsi="Times New Roman" w:eastAsia="仿宋_GB2312" w:cs="Times New Roman"/>
          <w:sz w:val="32"/>
          <w:szCs w:val="32"/>
          <w:lang w:val="en-US" w:eastAsia="zh-CN"/>
        </w:rPr>
        <w:t>根据厉行节约的要求，控制各科室外出参训人员次数以及尽量参加免培训费用的培训会。</w:t>
      </w:r>
    </w:p>
    <w:p w14:paraId="0DCDF45E">
      <w:pPr>
        <w:keepNext w:val="0"/>
        <w:keepLines w:val="0"/>
        <w:pageBreakBefore w:val="0"/>
        <w:widowControl w:val="0"/>
        <w:tabs>
          <w:tab w:val="right" w:pos="8306"/>
        </w:tabs>
        <w:kinsoku/>
        <w:wordWrap/>
        <w:overflowPunct/>
        <w:topLinePunct w:val="0"/>
        <w:autoSpaceDE/>
        <w:autoSpaceDN/>
        <w:bidi w:val="0"/>
        <w:spacing w:line="560" w:lineRule="exact"/>
        <w:ind w:firstLine="640"/>
        <w:textAlignment w:val="auto"/>
        <w:outlineLvl w:val="1"/>
        <w:rPr>
          <w:rStyle w:val="24"/>
        </w:rPr>
      </w:pPr>
      <w:bookmarkStart w:id="31" w:name="_Toc15377214"/>
      <w:bookmarkStart w:id="32" w:name="_Toc15396608"/>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4"/>
          <w:rFonts w:hint="eastAsia" w:ascii="黑体" w:hAnsi="黑体" w:eastAsia="黑体"/>
          <w:b w:val="0"/>
        </w:rPr>
        <w:t>般公共预算财政拨款基本支出决算情况说明</w:t>
      </w:r>
      <w:bookmarkEnd w:id="31"/>
      <w:bookmarkEnd w:id="32"/>
      <w:r>
        <w:rPr>
          <w:rStyle w:val="24"/>
          <w:rFonts w:ascii="黑体" w:hAnsi="黑体" w:eastAsia="黑体"/>
          <w:b w:val="0"/>
        </w:rPr>
        <w:tab/>
      </w:r>
    </w:p>
    <w:p w14:paraId="443924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一般公共预算财政拨款基本支出</w:t>
      </w:r>
      <w:r>
        <w:rPr>
          <w:rFonts w:hint="eastAsia" w:ascii="Times New Roman" w:hAnsi="Times New Roman" w:eastAsia="仿宋_GB2312" w:cs="Times New Roman"/>
          <w:sz w:val="32"/>
          <w:szCs w:val="32"/>
          <w:lang w:val="en-US" w:eastAsia="zh-CN"/>
        </w:rPr>
        <w:t>2044.04</w:t>
      </w:r>
      <w:r>
        <w:rPr>
          <w:rFonts w:hint="eastAsia" w:ascii="Times New Roman" w:hAnsi="Times New Roman" w:eastAsia="仿宋_GB2312" w:cs="Times New Roman"/>
          <w:sz w:val="32"/>
          <w:szCs w:val="32"/>
        </w:rPr>
        <w:t>万元，其中：</w:t>
      </w:r>
    </w:p>
    <w:p w14:paraId="4820D7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人员经费</w:t>
      </w:r>
      <w:r>
        <w:rPr>
          <w:rFonts w:hint="eastAsia" w:ascii="Times New Roman" w:hAnsi="Times New Roman" w:eastAsia="仿宋_GB2312" w:cs="Times New Roman"/>
          <w:sz w:val="32"/>
          <w:szCs w:val="32"/>
          <w:lang w:val="en-US" w:eastAsia="zh-CN"/>
        </w:rPr>
        <w:t>1765.5</w:t>
      </w:r>
      <w:r>
        <w:rPr>
          <w:rFonts w:hint="eastAsia" w:ascii="Times New Roman" w:hAnsi="Times New Roman" w:eastAsia="仿宋_GB2312" w:cs="Times New Roman"/>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14:paraId="692B3B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公用经费</w:t>
      </w:r>
      <w:r>
        <w:rPr>
          <w:rFonts w:hint="eastAsia" w:ascii="Times New Roman" w:hAnsi="Times New Roman" w:eastAsia="仿宋_GB2312" w:cs="Times New Roman"/>
          <w:sz w:val="32"/>
          <w:szCs w:val="32"/>
          <w:lang w:val="en-US" w:eastAsia="zh-CN"/>
        </w:rPr>
        <w:t>278.54</w:t>
      </w:r>
      <w:r>
        <w:rPr>
          <w:rFonts w:hint="eastAsia" w:ascii="Times New Roman" w:hAnsi="Times New Roman" w:eastAsia="仿宋_GB2312" w:cs="Times New Roman"/>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3136C35D">
      <w:pPr>
        <w:keepNext w:val="0"/>
        <w:keepLines w:val="0"/>
        <w:pageBreakBefore w:val="0"/>
        <w:widowControl w:val="0"/>
        <w:kinsoku/>
        <w:wordWrap/>
        <w:overflowPunct/>
        <w:topLinePunct w:val="0"/>
        <w:autoSpaceDE/>
        <w:autoSpaceDN/>
        <w:bidi w:val="0"/>
        <w:spacing w:line="560" w:lineRule="exact"/>
        <w:ind w:firstLine="640"/>
        <w:textAlignment w:val="auto"/>
        <w:outlineLvl w:val="1"/>
        <w:rPr>
          <w:rStyle w:val="24"/>
          <w:rFonts w:ascii="黑体" w:hAnsi="黑体" w:eastAsia="黑体"/>
          <w:b w:val="0"/>
        </w:rPr>
      </w:pPr>
      <w:bookmarkStart w:id="33" w:name="_Toc15396609"/>
      <w:bookmarkStart w:id="34" w:name="_Toc15377215"/>
      <w:r>
        <w:rPr>
          <w:rFonts w:hint="eastAsia" w:ascii="黑体" w:eastAsia="黑体"/>
          <w:sz w:val="32"/>
          <w:szCs w:val="32"/>
        </w:rPr>
        <w:t>七、</w:t>
      </w:r>
      <w:r>
        <w:rPr>
          <w:rStyle w:val="24"/>
          <w:rFonts w:hint="eastAsia" w:ascii="黑体" w:hAnsi="黑体" w:eastAsia="黑体"/>
          <w:b w:val="0"/>
        </w:rPr>
        <w:t>财政拨款</w:t>
      </w:r>
      <w:r>
        <w:rPr>
          <w:rStyle w:val="24"/>
          <w:rFonts w:hint="eastAsia" w:ascii="黑体" w:hAnsi="黑体" w:eastAsia="黑体"/>
        </w:rPr>
        <w:t>“</w:t>
      </w:r>
      <w:r>
        <w:rPr>
          <w:rStyle w:val="24"/>
          <w:rFonts w:hint="eastAsia" w:ascii="黑体" w:hAnsi="黑体" w:eastAsia="黑体"/>
          <w:b w:val="0"/>
        </w:rPr>
        <w:t>三公”经费支出决算情况说明</w:t>
      </w:r>
      <w:bookmarkEnd w:id="33"/>
      <w:bookmarkEnd w:id="34"/>
    </w:p>
    <w:p w14:paraId="259F7162">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outlineLvl w:val="2"/>
        <w:rPr>
          <w:rFonts w:hint="eastAsia" w:ascii="楷体_GB2312" w:hAnsi="楷体_GB2312" w:eastAsia="楷体_GB2312" w:cs="楷体_GB2312"/>
          <w:b w:val="0"/>
          <w:bCs/>
          <w:sz w:val="32"/>
          <w:szCs w:val="32"/>
          <w:lang w:val="en-US" w:eastAsia="zh-CN"/>
        </w:rPr>
      </w:pPr>
      <w:bookmarkStart w:id="35" w:name="_Toc15377216"/>
      <w:r>
        <w:rPr>
          <w:rFonts w:hint="eastAsia" w:ascii="楷体_GB2312" w:hAnsi="楷体_GB2312" w:eastAsia="楷体_GB2312" w:cs="楷体_GB2312"/>
          <w:b w:val="0"/>
          <w:bCs/>
          <w:sz w:val="32"/>
          <w:szCs w:val="32"/>
          <w:lang w:val="en-US" w:eastAsia="zh-CN"/>
        </w:rPr>
        <w:t>（一）“三公”经费财政拨款支出决算总体情况说明</w:t>
      </w:r>
      <w:bookmarkEnd w:id="35"/>
    </w:p>
    <w:p w14:paraId="02985E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“三公”经费财政拨款支出决算为</w:t>
      </w:r>
      <w:r>
        <w:rPr>
          <w:rFonts w:hint="eastAsia" w:ascii="Times New Roman" w:hAnsi="Times New Roman" w:eastAsia="仿宋_GB2312" w:cs="Times New Roman"/>
          <w:sz w:val="32"/>
          <w:szCs w:val="32"/>
          <w:lang w:val="en-US" w:eastAsia="zh-CN"/>
        </w:rPr>
        <w:t>5.08</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73.2</w:t>
      </w:r>
      <w:r>
        <w:rPr>
          <w:rFonts w:hint="eastAsia" w:ascii="Times New Roman" w:hAnsi="Times New Roman" w:eastAsia="仿宋_GB2312" w:cs="Times New Roman"/>
          <w:sz w:val="32"/>
          <w:szCs w:val="32"/>
        </w:rPr>
        <w:t>%，</w:t>
      </w:r>
      <w:r>
        <w:rPr>
          <w:rFonts w:hint="eastAsia" w:ascii="Times New Roman" w:hAnsi="Times New Roman" w:eastAsia="仿宋_GB2312" w:cs="Times New Roman"/>
          <w:color w:val="auto"/>
          <w:sz w:val="32"/>
          <w:szCs w:val="32"/>
        </w:rPr>
        <w:t>决算数小于预算数的主要原因是</w:t>
      </w:r>
      <w:r>
        <w:rPr>
          <w:rFonts w:hint="eastAsia" w:ascii="Times New Roman" w:hAnsi="Times New Roman" w:eastAsia="仿宋_GB2312" w:cs="Times New Roman"/>
          <w:color w:val="auto"/>
          <w:sz w:val="32"/>
          <w:szCs w:val="32"/>
          <w:lang w:val="en-US" w:eastAsia="zh-CN"/>
        </w:rPr>
        <w:t>部分工作减少</w:t>
      </w:r>
      <w:r>
        <w:rPr>
          <w:rFonts w:hint="eastAsia" w:ascii="Times New Roman" w:hAnsi="Times New Roman" w:eastAsia="仿宋_GB2312" w:cs="Times New Roman"/>
          <w:color w:val="auto"/>
          <w:sz w:val="32"/>
          <w:szCs w:val="32"/>
          <w:lang w:eastAsia="zh-CN"/>
        </w:rPr>
        <w:t>，相应经费支出</w:t>
      </w:r>
      <w:r>
        <w:rPr>
          <w:rFonts w:hint="eastAsia" w:ascii="Times New Roman" w:hAnsi="Times New Roman" w:eastAsia="仿宋_GB2312" w:cs="Times New Roman"/>
          <w:color w:val="auto"/>
          <w:sz w:val="32"/>
          <w:szCs w:val="32"/>
          <w:lang w:val="en-US" w:eastAsia="zh-CN"/>
        </w:rPr>
        <w:t>降低</w:t>
      </w:r>
      <w:r>
        <w:rPr>
          <w:rFonts w:hint="eastAsia" w:ascii="Times New Roman" w:hAnsi="Times New Roman" w:eastAsia="仿宋_GB2312" w:cs="Times New Roman"/>
          <w:color w:val="auto"/>
          <w:sz w:val="32"/>
          <w:szCs w:val="32"/>
        </w:rPr>
        <w:t>。</w:t>
      </w:r>
    </w:p>
    <w:p w14:paraId="32AC1DE3">
      <w:pPr>
        <w:keepNext w:val="0"/>
        <w:keepLines w:val="0"/>
        <w:pageBreakBefore w:val="0"/>
        <w:widowControl w:val="0"/>
        <w:kinsoku w:val="0"/>
        <w:wordWrap/>
        <w:overflowPunct w:val="0"/>
        <w:topLinePunct w:val="0"/>
        <w:autoSpaceDE/>
        <w:autoSpaceDN/>
        <w:bidi w:val="0"/>
        <w:adjustRightInd w:val="0"/>
        <w:snapToGrid w:val="0"/>
        <w:spacing w:line="560" w:lineRule="exact"/>
        <w:ind w:firstLine="640" w:firstLineChars="200"/>
        <w:jc w:val="both"/>
        <w:textAlignment w:val="auto"/>
        <w:outlineLvl w:val="9"/>
        <w:rPr>
          <w:rFonts w:hint="eastAsia"/>
          <w:lang w:val="en-US" w:eastAsia="zh-CN"/>
        </w:rPr>
      </w:pPr>
      <w:bookmarkStart w:id="36" w:name="_Toc15377217"/>
      <w:r>
        <w:rPr>
          <w:rFonts w:hint="eastAsia" w:ascii="楷体_GB2312" w:hAnsi="楷体_GB2312" w:eastAsia="楷体_GB2312" w:cs="楷体_GB2312"/>
          <w:b w:val="0"/>
          <w:bCs/>
          <w:sz w:val="32"/>
          <w:szCs w:val="32"/>
          <w:lang w:val="en-US" w:eastAsia="zh-CN"/>
        </w:rPr>
        <w:t>（二）“三公”经费财政拨款支出决算具体情况说明</w:t>
      </w:r>
      <w:bookmarkEnd w:id="36"/>
    </w:p>
    <w:p w14:paraId="733AAFAC">
      <w:pPr>
        <w:keepNext w:val="0"/>
        <w:keepLines w:val="0"/>
        <w:pageBreakBefore w:val="0"/>
        <w:widowControl w:val="0"/>
        <w:kinsoku w:val="0"/>
        <w:wordWrap/>
        <w:overflowPunct w:val="0"/>
        <w:topLinePunct w:val="0"/>
        <w:autoSpaceDE/>
        <w:autoSpaceDN/>
        <w:bidi w:val="0"/>
        <w:adjustRightInd w:val="0"/>
        <w:snapToGrid w:val="0"/>
        <w:spacing w:line="560" w:lineRule="exact"/>
        <w:ind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“三公”经费财政拨款支出决算中，因公出国（境）费支出决算0万元，占0%；公务用车购置及运行维费支出决算</w:t>
      </w:r>
      <w:r>
        <w:rPr>
          <w:rFonts w:hint="eastAsia" w:ascii="Times New Roman" w:hAnsi="Times New Roman" w:eastAsia="仿宋_GB2312" w:cs="Times New Roman"/>
          <w:sz w:val="32"/>
          <w:szCs w:val="32"/>
          <w:lang w:val="en-US" w:eastAsia="zh-CN"/>
        </w:rPr>
        <w:t>3.94</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77.56</w:t>
      </w:r>
      <w:r>
        <w:rPr>
          <w:rFonts w:hint="eastAsia" w:ascii="Times New Roman" w:hAnsi="Times New Roman" w:eastAsia="仿宋_GB2312" w:cs="Times New Roman"/>
          <w:sz w:val="32"/>
          <w:szCs w:val="32"/>
        </w:rPr>
        <w:t>%；公务接待费支出决算</w:t>
      </w:r>
      <w:r>
        <w:rPr>
          <w:rFonts w:hint="eastAsia" w:ascii="Times New Roman" w:hAnsi="Times New Roman" w:eastAsia="仿宋_GB2312" w:cs="Times New Roman"/>
          <w:sz w:val="32"/>
          <w:szCs w:val="32"/>
          <w:lang w:val="en-US" w:eastAsia="zh-CN"/>
        </w:rPr>
        <w:t>1.14</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22.44</w:t>
      </w:r>
      <w:r>
        <w:rPr>
          <w:rFonts w:hint="eastAsia" w:ascii="Times New Roman" w:hAnsi="Times New Roman" w:eastAsia="仿宋_GB2312" w:cs="Times New Roman"/>
          <w:sz w:val="32"/>
          <w:szCs w:val="32"/>
        </w:rPr>
        <w:t>%。具体情况如下：</w:t>
      </w:r>
    </w:p>
    <w:p w14:paraId="61E2694F">
      <w:pPr>
        <w:pStyle w:val="9"/>
        <w:rPr>
          <w:rFonts w:hint="eastAsia"/>
        </w:rPr>
      </w:pPr>
      <w:r>
        <w:rPr>
          <w:rFonts w:hint="eastAsia" w:ascii="Times New Roman" w:hAnsi="Times New Roman" w:eastAsia="仿宋_GB2312" w:cs="Times New Roman"/>
          <w:sz w:val="32"/>
          <w:szCs w:val="32"/>
          <w:lang w:eastAsia="zh-CN"/>
        </w:rPr>
        <w:pict>
          <v:shape id="_x0000_s1031" o:spid="_x0000_s1031" o:spt="75" type="#_x0000_t75" style="position:absolute;left:0pt;margin-left:-2.5pt;margin-top:7.05pt;height:222.75pt;width:434.25pt;z-index:-251652096;mso-width-relative:page;mso-height-relative:page;" o:ole="t" filled="f" o:preferrelative="t" stroked="f" coordsize="21600,21600">
            <v:path/>
            <v:fill on="f" focussize="0,0"/>
            <v:stroke on="f"/>
            <v:imagedata r:id="rId36" o:title=""/>
            <o:lock v:ext="edit" aspectratio="t"/>
          </v:shape>
          <o:OLEObject Type="Embed" ProgID="Excel.Chart.8" ShapeID="_x0000_s1031" DrawAspect="Content" ObjectID="_1468075731" r:id="rId35">
            <o:LockedField>false</o:LockedField>
          </o:OLEObject>
        </w:pict>
      </w:r>
    </w:p>
    <w:p w14:paraId="629DA1DB">
      <w:pPr>
        <w:pStyle w:val="9"/>
        <w:rPr>
          <w:rFonts w:hint="eastAsia" w:ascii="Times New Roman" w:hAnsi="Times New Roman" w:eastAsia="仿宋_GB2312" w:cs="Times New Roman"/>
          <w:sz w:val="32"/>
          <w:szCs w:val="32"/>
        </w:rPr>
      </w:pPr>
    </w:p>
    <w:p w14:paraId="4D2C4A73">
      <w:pPr>
        <w:pStyle w:val="9"/>
        <w:rPr>
          <w:rFonts w:hint="eastAsia" w:ascii="Times New Roman" w:hAnsi="Times New Roman" w:eastAsia="仿宋_GB2312" w:cs="Times New Roman"/>
          <w:sz w:val="32"/>
          <w:szCs w:val="32"/>
        </w:rPr>
      </w:pPr>
    </w:p>
    <w:p w14:paraId="024D82EC">
      <w:pPr>
        <w:pStyle w:val="9"/>
        <w:rPr>
          <w:rFonts w:hint="eastAsia" w:ascii="Times New Roman" w:hAnsi="Times New Roman" w:eastAsia="仿宋_GB2312" w:cs="Times New Roman"/>
          <w:sz w:val="32"/>
          <w:szCs w:val="32"/>
        </w:rPr>
      </w:pPr>
    </w:p>
    <w:p w14:paraId="21939120">
      <w:pPr>
        <w:pStyle w:val="9"/>
        <w:rPr>
          <w:rFonts w:hint="eastAsia" w:ascii="Times New Roman" w:hAnsi="Times New Roman" w:eastAsia="仿宋_GB2312" w:cs="Times New Roman"/>
          <w:sz w:val="32"/>
          <w:szCs w:val="32"/>
        </w:rPr>
      </w:pPr>
    </w:p>
    <w:p w14:paraId="676B7488">
      <w:pPr>
        <w:pStyle w:val="9"/>
        <w:jc w:val="center"/>
        <w:rPr>
          <w:rFonts w:hint="eastAsia" w:ascii="Times New Roman" w:hAnsi="Times New Roman" w:eastAsia="仿宋_GB2312" w:cs="Times New Roman"/>
          <w:sz w:val="32"/>
          <w:szCs w:val="32"/>
        </w:rPr>
      </w:pPr>
    </w:p>
    <w:p w14:paraId="2C478A08">
      <w:pPr>
        <w:pStyle w:val="9"/>
        <w:rPr>
          <w:rFonts w:hint="eastAsia" w:ascii="Times New Roman" w:hAnsi="Times New Roman" w:eastAsia="仿宋_GB2312" w:cs="Times New Roman"/>
          <w:sz w:val="32"/>
          <w:szCs w:val="32"/>
          <w:lang w:eastAsia="zh-CN"/>
        </w:rPr>
      </w:pPr>
    </w:p>
    <w:p w14:paraId="6BB2E5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p>
    <w:p w14:paraId="1DD475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p>
    <w:p w14:paraId="12805F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p>
    <w:p w14:paraId="70332B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p>
    <w:p w14:paraId="02C2AA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1.因公出国（境）经费支出0万元</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完成预算0%。全年安排因公出国（境）团组0次，出国（境）0人。因公出国（境）支出决算比</w:t>
      </w:r>
      <w:r>
        <w:rPr>
          <w:rFonts w:hint="eastAsia" w:ascii="Times New Roman" w:hAnsi="Times New Roman" w:eastAsia="仿宋_GB2312" w:cs="Times New Roman"/>
          <w:sz w:val="32"/>
          <w:szCs w:val="32"/>
          <w:lang w:val="en-US" w:eastAsia="zh-CN"/>
        </w:rPr>
        <w:t>2023</w:t>
      </w:r>
      <w:r>
        <w:rPr>
          <w:rFonts w:hint="eastAsia" w:ascii="Times New Roman" w:hAnsi="Times New Roman" w:eastAsia="仿宋_GB2312" w:cs="Times New Roman"/>
          <w:sz w:val="32"/>
          <w:szCs w:val="32"/>
        </w:rPr>
        <w:t>年增加/减少0万元，增长/下降0%。主要原因是</w:t>
      </w:r>
      <w:r>
        <w:rPr>
          <w:rFonts w:hint="eastAsia" w:ascii="Times New Roman" w:hAnsi="Times New Roman" w:eastAsia="仿宋_GB2312" w:cs="Times New Roman"/>
          <w:sz w:val="32"/>
          <w:szCs w:val="32"/>
          <w:lang w:val="en-US" w:eastAsia="zh-CN"/>
        </w:rPr>
        <w:t>2024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无因公出国境计划。</w:t>
      </w:r>
    </w:p>
    <w:p w14:paraId="40B7C8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sz w:val="32"/>
          <w:szCs w:val="32"/>
        </w:rPr>
        <w:t>2.公务用车购置及运行维护费支出</w:t>
      </w:r>
      <w:r>
        <w:rPr>
          <w:rFonts w:hint="eastAsia" w:ascii="Times New Roman" w:hAnsi="Times New Roman" w:eastAsia="仿宋_GB2312" w:cs="Times New Roman"/>
          <w:sz w:val="32"/>
          <w:szCs w:val="32"/>
          <w:lang w:val="en-US" w:eastAsia="zh-CN"/>
        </w:rPr>
        <w:t>3.94</w:t>
      </w:r>
      <w:r>
        <w:rPr>
          <w:rFonts w:hint="eastAsia" w:ascii="Times New Roman" w:hAnsi="Times New Roman" w:eastAsia="仿宋_GB2312" w:cs="Times New Roman"/>
          <w:sz w:val="32"/>
          <w:szCs w:val="32"/>
        </w:rPr>
        <w:t>万元</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完成预算</w:t>
      </w:r>
      <w:r>
        <w:rPr>
          <w:rFonts w:hint="eastAsia" w:ascii="Times New Roman" w:hAnsi="Times New Roman" w:eastAsia="仿宋_GB2312" w:cs="Times New Roman"/>
          <w:sz w:val="32"/>
          <w:szCs w:val="32"/>
          <w:lang w:val="en-US" w:eastAsia="zh-CN"/>
        </w:rPr>
        <w:t>78.8</w:t>
      </w:r>
      <w:r>
        <w:rPr>
          <w:rFonts w:hint="eastAsia" w:ascii="Times New Roman" w:hAnsi="Times New Roman" w:eastAsia="仿宋_GB2312" w:cs="Times New Roman"/>
          <w:sz w:val="32"/>
          <w:szCs w:val="32"/>
        </w:rPr>
        <w:t>%。公务用车购置及运行维护费支出决算比</w:t>
      </w:r>
      <w:r>
        <w:rPr>
          <w:rFonts w:hint="eastAsia" w:ascii="Times New Roman" w:hAnsi="Times New Roman" w:eastAsia="仿宋_GB2312" w:cs="Times New Roman"/>
          <w:sz w:val="32"/>
          <w:szCs w:val="32"/>
          <w:lang w:val="en-US" w:eastAsia="zh-CN"/>
        </w:rPr>
        <w:t>2023</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度增加0.13</w:t>
      </w:r>
      <w:r>
        <w:rPr>
          <w:rFonts w:hint="eastAsia" w:ascii="Times New Roman" w:hAnsi="Times New Roman" w:eastAsia="仿宋_GB2312" w:cs="Times New Roman"/>
          <w:sz w:val="32"/>
          <w:szCs w:val="32"/>
        </w:rPr>
        <w:t>万元，</w:t>
      </w:r>
      <w:r>
        <w:rPr>
          <w:rFonts w:hint="eastAsia" w:ascii="Times New Roman" w:hAnsi="Times New Roman" w:eastAsia="仿宋_GB2312" w:cs="Times New Roman"/>
          <w:sz w:val="32"/>
          <w:szCs w:val="32"/>
          <w:lang w:val="en-US" w:eastAsia="zh-CN"/>
        </w:rPr>
        <w:t>增长3.41</w:t>
      </w:r>
      <w:r>
        <w:rPr>
          <w:rFonts w:hint="eastAsia" w:ascii="Times New Roman" w:hAnsi="Times New Roman" w:eastAsia="仿宋_GB2312" w:cs="Times New Roman"/>
          <w:sz w:val="32"/>
          <w:szCs w:val="32"/>
        </w:rPr>
        <w:t>%。</w:t>
      </w:r>
      <w:r>
        <w:rPr>
          <w:rFonts w:hint="eastAsia" w:ascii="Times New Roman" w:hAnsi="Times New Roman" w:eastAsia="仿宋_GB2312" w:cs="Times New Roman"/>
          <w:color w:val="auto"/>
          <w:sz w:val="32"/>
          <w:szCs w:val="32"/>
        </w:rPr>
        <w:t>主要原因是</w:t>
      </w:r>
      <w:r>
        <w:rPr>
          <w:rFonts w:hint="eastAsia" w:ascii="Times New Roman" w:hAnsi="Times New Roman" w:eastAsia="仿宋_GB2312" w:cs="Times New Roman"/>
          <w:color w:val="auto"/>
          <w:sz w:val="32"/>
          <w:szCs w:val="32"/>
          <w:lang w:val="en-US" w:eastAsia="zh-CN"/>
        </w:rPr>
        <w:t>2辆车均已使用超过10年，不少部件已出现问题，影响使用，故2024年度对2辆车进行了维修</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故增加公务用车维修费用。</w:t>
      </w:r>
    </w:p>
    <w:p w14:paraId="519E6E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其中：公务用车购置支出0万元。全年按规定更新购置公务用车0辆，其中：轿车0辆、金额0万元，越野车0辆、金额0万元，载客汽车0辆、金额0万元。截至202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年12月底，单位共有公务用车2辆，其中：轿车0辆、越野车2辆、载客汽车0辆。</w:t>
      </w:r>
    </w:p>
    <w:p w14:paraId="136DA6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公务用车运行维护费支出</w:t>
      </w:r>
      <w:r>
        <w:rPr>
          <w:rFonts w:hint="eastAsia" w:ascii="Times New Roman" w:hAnsi="Times New Roman" w:eastAsia="仿宋_GB2312" w:cs="Times New Roman"/>
          <w:sz w:val="32"/>
          <w:szCs w:val="32"/>
          <w:lang w:val="en-US" w:eastAsia="zh-CN"/>
        </w:rPr>
        <w:t>3.94</w:t>
      </w:r>
      <w:r>
        <w:rPr>
          <w:rFonts w:hint="eastAsia" w:ascii="Times New Roman" w:hAnsi="Times New Roman" w:eastAsia="仿宋_GB2312" w:cs="Times New Roman"/>
          <w:sz w:val="32"/>
          <w:szCs w:val="32"/>
        </w:rPr>
        <w:t>万元。主要用于保障中心药械化专项检查、工作会议、文件资料运送传递等业务工作的开展所需的公务用车燃料费、维修费、过路过桥费、保险费等支出。</w:t>
      </w:r>
    </w:p>
    <w:p w14:paraId="7093F7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3.公务接待费支出</w:t>
      </w:r>
      <w:r>
        <w:rPr>
          <w:rFonts w:hint="eastAsia" w:ascii="Times New Roman" w:hAnsi="Times New Roman" w:eastAsia="仿宋_GB2312" w:cs="Times New Roman"/>
          <w:sz w:val="32"/>
          <w:szCs w:val="32"/>
          <w:lang w:val="en-US" w:eastAsia="zh-CN"/>
        </w:rPr>
        <w:t>1.14</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58.76</w:t>
      </w:r>
      <w:r>
        <w:rPr>
          <w:rFonts w:hint="eastAsia" w:ascii="Times New Roman" w:hAnsi="Times New Roman" w:eastAsia="仿宋_GB2312" w:cs="Times New Roman"/>
          <w:sz w:val="32"/>
          <w:szCs w:val="32"/>
        </w:rPr>
        <w:t>%。公务接待费支出决算比20</w:t>
      </w:r>
      <w:r>
        <w:rPr>
          <w:rFonts w:hint="eastAsia" w:ascii="Times New Roman" w:hAnsi="Times New Roman" w:eastAsia="仿宋_GB2312" w:cs="Times New Roman"/>
          <w:sz w:val="32"/>
          <w:szCs w:val="32"/>
          <w:lang w:val="en-US" w:eastAsia="zh-CN"/>
        </w:rPr>
        <w:t>23</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增加0.55</w:t>
      </w:r>
      <w:r>
        <w:rPr>
          <w:rFonts w:hint="eastAsia" w:ascii="Times New Roman" w:hAnsi="Times New Roman" w:eastAsia="仿宋_GB2312" w:cs="Times New Roman"/>
          <w:sz w:val="32"/>
          <w:szCs w:val="32"/>
        </w:rPr>
        <w:t>万元，</w:t>
      </w:r>
      <w:r>
        <w:rPr>
          <w:rFonts w:hint="eastAsia" w:ascii="Times New Roman" w:hAnsi="Times New Roman" w:eastAsia="仿宋_GB2312" w:cs="Times New Roman"/>
          <w:sz w:val="32"/>
          <w:szCs w:val="32"/>
          <w:lang w:val="en-US" w:eastAsia="zh-CN"/>
        </w:rPr>
        <w:t>上升93.22</w:t>
      </w:r>
      <w:r>
        <w:rPr>
          <w:rFonts w:hint="eastAsia" w:ascii="Times New Roman" w:hAnsi="Times New Roman" w:eastAsia="仿宋_GB2312" w:cs="Times New Roman"/>
          <w:sz w:val="32"/>
          <w:szCs w:val="32"/>
        </w:rPr>
        <w:t>%。主要原因是</w:t>
      </w:r>
      <w:r>
        <w:rPr>
          <w:rFonts w:hint="eastAsia" w:ascii="Times New Roman" w:hAnsi="Times New Roman" w:eastAsia="仿宋_GB2312" w:cs="Times New Roman"/>
          <w:sz w:val="32"/>
          <w:szCs w:val="32"/>
          <w:lang w:val="en-US" w:eastAsia="zh-CN"/>
        </w:rPr>
        <w:t>为加强行业交流，接待上级部门及其他省份兄弟单位调研人数较上年增加50人次，相应费用增加。</w:t>
      </w:r>
      <w:r>
        <w:rPr>
          <w:rFonts w:hint="eastAsia" w:ascii="Times New Roman" w:hAnsi="Times New Roman" w:eastAsia="仿宋_GB2312" w:cs="Times New Roman"/>
          <w:sz w:val="32"/>
          <w:szCs w:val="32"/>
        </w:rPr>
        <w:t>其中：</w:t>
      </w:r>
    </w:p>
    <w:p w14:paraId="4B94B7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国内公务接待支出</w:t>
      </w:r>
      <w:r>
        <w:rPr>
          <w:rFonts w:hint="eastAsia" w:ascii="Times New Roman" w:hAnsi="Times New Roman" w:eastAsia="仿宋_GB2312" w:cs="Times New Roman"/>
          <w:sz w:val="32"/>
          <w:szCs w:val="32"/>
          <w:lang w:val="en-US" w:eastAsia="zh-CN"/>
        </w:rPr>
        <w:t>1.14</w:t>
      </w:r>
      <w:r>
        <w:rPr>
          <w:rFonts w:hint="eastAsia"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58.76</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主要用于执行公务、开展业务活动开支的交通费、住宿费、用餐费等。国内公务接待</w:t>
      </w:r>
      <w:r>
        <w:rPr>
          <w:rFonts w:hint="eastAsia" w:ascii="Times New Roman" w:hAnsi="Times New Roman" w:eastAsia="仿宋_GB2312" w:cs="Times New Roman"/>
          <w:sz w:val="32"/>
          <w:szCs w:val="32"/>
          <w:lang w:val="en-US" w:eastAsia="zh-CN"/>
        </w:rPr>
        <w:t>9</w:t>
      </w:r>
      <w:r>
        <w:rPr>
          <w:rFonts w:hint="eastAsia" w:ascii="Times New Roman" w:hAnsi="Times New Roman" w:eastAsia="仿宋_GB2312" w:cs="Times New Roman"/>
          <w:sz w:val="32"/>
          <w:szCs w:val="32"/>
        </w:rPr>
        <w:t>批次，</w:t>
      </w:r>
      <w:r>
        <w:rPr>
          <w:rFonts w:hint="eastAsia" w:ascii="Times New Roman" w:hAnsi="Times New Roman" w:eastAsia="仿宋_GB2312" w:cs="Times New Roman"/>
          <w:sz w:val="32"/>
          <w:szCs w:val="32"/>
          <w:lang w:val="en-US" w:eastAsia="zh-CN"/>
        </w:rPr>
        <w:t>84</w:t>
      </w:r>
      <w:r>
        <w:rPr>
          <w:rFonts w:hint="eastAsia" w:ascii="Times New Roman" w:hAnsi="Times New Roman" w:eastAsia="仿宋_GB2312" w:cs="Times New Roman"/>
          <w:sz w:val="32"/>
          <w:szCs w:val="32"/>
        </w:rPr>
        <w:t>人次（不包括陪同人员），共计支出</w:t>
      </w:r>
      <w:r>
        <w:rPr>
          <w:rFonts w:hint="eastAsia" w:ascii="Times New Roman" w:hAnsi="Times New Roman" w:eastAsia="仿宋_GB2312" w:cs="Times New Roman"/>
          <w:sz w:val="32"/>
          <w:szCs w:val="32"/>
          <w:lang w:val="en-US" w:eastAsia="zh-CN"/>
        </w:rPr>
        <w:t>1.14</w:t>
      </w:r>
      <w:r>
        <w:rPr>
          <w:rFonts w:hint="eastAsia" w:ascii="Times New Roman" w:hAnsi="Times New Roman" w:eastAsia="仿宋_GB2312" w:cs="Times New Roman"/>
          <w:sz w:val="32"/>
          <w:szCs w:val="32"/>
        </w:rPr>
        <w:t>万元，具体内容包括：接待</w:t>
      </w:r>
      <w:r>
        <w:rPr>
          <w:rFonts w:hint="eastAsia" w:ascii="Times New Roman" w:hAnsi="Times New Roman" w:eastAsia="仿宋_GB2312" w:cs="Times New Roman"/>
          <w:sz w:val="32"/>
          <w:szCs w:val="32"/>
          <w:lang w:val="en-US" w:eastAsia="zh-CN"/>
        </w:rPr>
        <w:t>北京、上海、山东、湖北、湖南、江苏中心来</w:t>
      </w:r>
      <w:r>
        <w:rPr>
          <w:rFonts w:hint="eastAsia" w:ascii="Times New Roman" w:hAnsi="Times New Roman" w:eastAsia="仿宋_GB2312" w:cs="Times New Roman"/>
          <w:sz w:val="32"/>
          <w:szCs w:val="32"/>
        </w:rPr>
        <w:t>川学习调研，</w:t>
      </w:r>
      <w:r>
        <w:rPr>
          <w:rFonts w:hint="eastAsia" w:ascii="Times New Roman" w:hAnsi="Times New Roman" w:eastAsia="仿宋_GB2312" w:cs="Times New Roman"/>
          <w:sz w:val="32"/>
          <w:szCs w:val="32"/>
          <w:lang w:val="en-US" w:eastAsia="zh-CN"/>
        </w:rPr>
        <w:t>促进</w:t>
      </w:r>
      <w:r>
        <w:rPr>
          <w:rFonts w:hint="eastAsia" w:ascii="Times New Roman" w:hAnsi="Times New Roman" w:eastAsia="仿宋_GB2312" w:cs="Times New Roman"/>
          <w:sz w:val="32"/>
          <w:szCs w:val="32"/>
        </w:rPr>
        <w:t>省际工作交流学习。</w:t>
      </w:r>
    </w:p>
    <w:p w14:paraId="367DFD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外事接待支出0万元</w:t>
      </w:r>
      <w:bookmarkStart w:id="37" w:name="_Toc15377218"/>
      <w:bookmarkStart w:id="38" w:name="_Toc15396610"/>
      <w:r>
        <w:rPr>
          <w:rFonts w:hint="eastAsia" w:ascii="Times New Roman" w:hAnsi="Times New Roman" w:eastAsia="仿宋_GB2312" w:cs="Times New Roman"/>
          <w:sz w:val="32"/>
          <w:szCs w:val="32"/>
        </w:rPr>
        <w:t>。</w:t>
      </w:r>
    </w:p>
    <w:p w14:paraId="6B6980CD">
      <w:pPr>
        <w:keepNext w:val="0"/>
        <w:keepLines w:val="0"/>
        <w:pageBreakBefore w:val="0"/>
        <w:widowControl w:val="0"/>
        <w:kinsoku/>
        <w:wordWrap/>
        <w:overflowPunct/>
        <w:topLinePunct w:val="0"/>
        <w:autoSpaceDE/>
        <w:autoSpaceDN/>
        <w:bidi w:val="0"/>
        <w:spacing w:line="560" w:lineRule="exact"/>
        <w:ind w:firstLine="640"/>
        <w:textAlignment w:val="auto"/>
        <w:outlineLvl w:val="1"/>
        <w:rPr>
          <w:rStyle w:val="24"/>
          <w:rFonts w:ascii="黑体" w:hAnsi="黑体" w:eastAsia="黑体"/>
        </w:rPr>
      </w:pPr>
      <w:r>
        <w:rPr>
          <w:rFonts w:hint="eastAsia" w:ascii="黑体" w:eastAsia="黑体"/>
          <w:sz w:val="32"/>
          <w:szCs w:val="32"/>
        </w:rPr>
        <w:t>八、</w:t>
      </w:r>
      <w:r>
        <w:rPr>
          <w:rStyle w:val="24"/>
          <w:rFonts w:hint="eastAsia" w:ascii="黑体" w:hAnsi="黑体" w:eastAsia="黑体"/>
          <w:b w:val="0"/>
        </w:rPr>
        <w:t>政府性基金预算支出决算情况说明</w:t>
      </w:r>
      <w:bookmarkEnd w:id="37"/>
      <w:bookmarkEnd w:id="38"/>
    </w:p>
    <w:p w14:paraId="4E61CED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政府性基金预算财政拨款支出0万元。</w:t>
      </w:r>
    </w:p>
    <w:p w14:paraId="5DC9C9AE">
      <w:pPr>
        <w:keepNext w:val="0"/>
        <w:keepLines w:val="0"/>
        <w:pageBreakBefore w:val="0"/>
        <w:widowControl w:val="0"/>
        <w:numPr>
          <w:ilvl w:val="0"/>
          <w:numId w:val="3"/>
        </w:numPr>
        <w:kinsoku/>
        <w:wordWrap/>
        <w:overflowPunct/>
        <w:topLinePunct w:val="0"/>
        <w:autoSpaceDE/>
        <w:autoSpaceDN/>
        <w:bidi w:val="0"/>
        <w:spacing w:line="560" w:lineRule="exact"/>
        <w:ind w:firstLine="640"/>
        <w:textAlignment w:val="auto"/>
        <w:outlineLvl w:val="1"/>
        <w:rPr>
          <w:rStyle w:val="24"/>
          <w:rFonts w:ascii="黑体" w:hAnsi="黑体" w:eastAsia="黑体"/>
          <w:b w:val="0"/>
        </w:rPr>
      </w:pPr>
      <w:bookmarkStart w:id="39" w:name="_Toc15377219"/>
      <w:bookmarkStart w:id="40" w:name="_Toc15396611"/>
      <w:r>
        <w:rPr>
          <w:rStyle w:val="24"/>
          <w:rFonts w:hint="eastAsia" w:ascii="黑体" w:hAnsi="黑体" w:eastAsia="黑体"/>
          <w:b w:val="0"/>
        </w:rPr>
        <w:t>国有资本经营预算支出决算情况说明</w:t>
      </w:r>
      <w:bookmarkEnd w:id="39"/>
      <w:bookmarkEnd w:id="40"/>
    </w:p>
    <w:p w14:paraId="1FC454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国有资本经营预算财政拨款支出0万元。</w:t>
      </w:r>
    </w:p>
    <w:p w14:paraId="0B7CA0B8">
      <w:pPr>
        <w:keepNext w:val="0"/>
        <w:keepLines w:val="0"/>
        <w:pageBreakBefore w:val="0"/>
        <w:widowControl w:val="0"/>
        <w:numPr>
          <w:ilvl w:val="0"/>
          <w:numId w:val="3"/>
        </w:numPr>
        <w:kinsoku/>
        <w:wordWrap/>
        <w:overflowPunct/>
        <w:topLinePunct w:val="0"/>
        <w:autoSpaceDE/>
        <w:autoSpaceDN/>
        <w:bidi w:val="0"/>
        <w:spacing w:line="560" w:lineRule="exact"/>
        <w:ind w:firstLine="640"/>
        <w:textAlignment w:val="auto"/>
        <w:outlineLvl w:val="1"/>
        <w:rPr>
          <w:rStyle w:val="24"/>
          <w:rFonts w:ascii="黑体" w:hAnsi="黑体" w:eastAsia="黑体"/>
          <w:b w:val="0"/>
        </w:rPr>
      </w:pPr>
      <w:bookmarkStart w:id="41" w:name="_Toc15396612"/>
      <w:bookmarkStart w:id="42" w:name="_Toc15377221"/>
      <w:r>
        <w:rPr>
          <w:rStyle w:val="24"/>
          <w:rFonts w:hint="eastAsia" w:ascii="黑体" w:hAnsi="黑体" w:eastAsia="黑体"/>
          <w:b w:val="0"/>
        </w:rPr>
        <w:t>其他重要事项的情况说明</w:t>
      </w:r>
      <w:bookmarkEnd w:id="41"/>
      <w:bookmarkEnd w:id="42"/>
    </w:p>
    <w:p w14:paraId="42435F58">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2"/>
        <w:rPr>
          <w:rFonts w:hint="eastAsia" w:ascii="楷体_GB2312" w:hAnsi="楷体_GB2312" w:eastAsia="楷体_GB2312" w:cs="楷体_GB2312"/>
          <w:b w:val="0"/>
          <w:bCs/>
          <w:sz w:val="32"/>
          <w:szCs w:val="32"/>
          <w:lang w:val="en-US" w:eastAsia="zh-CN"/>
        </w:rPr>
      </w:pPr>
      <w:bookmarkStart w:id="43" w:name="_Toc15377222"/>
      <w:r>
        <w:rPr>
          <w:rFonts w:hint="eastAsia" w:ascii="楷体_GB2312" w:hAnsi="楷体_GB2312" w:eastAsia="楷体_GB2312" w:cs="楷体_GB2312"/>
          <w:b w:val="0"/>
          <w:bCs/>
          <w:sz w:val="32"/>
          <w:szCs w:val="32"/>
          <w:lang w:val="en-US" w:eastAsia="zh-CN"/>
        </w:rPr>
        <w:t>（一）机关运行经费支出情况</w:t>
      </w:r>
      <w:bookmarkEnd w:id="43"/>
    </w:p>
    <w:p w14:paraId="0914F9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lang w:val="en-US"/>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，省食品药品审查评价及安全监测中心机关运行经费支出</w:t>
      </w:r>
      <w:r>
        <w:rPr>
          <w:rFonts w:hint="eastAsia" w:ascii="Times New Roman" w:hAnsi="Times New Roman" w:eastAsia="仿宋_GB2312" w:cs="Times New Roman"/>
          <w:sz w:val="32"/>
          <w:szCs w:val="32"/>
          <w:lang w:val="en-US" w:eastAsia="zh-CN"/>
        </w:rPr>
        <w:t>278.54</w:t>
      </w:r>
      <w:r>
        <w:rPr>
          <w:rFonts w:hint="eastAsia" w:ascii="Times New Roman" w:hAnsi="Times New Roman" w:eastAsia="仿宋_GB2312" w:cs="Times New Roman"/>
          <w:sz w:val="32"/>
          <w:szCs w:val="32"/>
        </w:rPr>
        <w:t>万元，比20</w:t>
      </w:r>
      <w:r>
        <w:rPr>
          <w:rFonts w:hint="eastAsia" w:ascii="Times New Roman" w:hAnsi="Times New Roman" w:eastAsia="仿宋_GB2312" w:cs="Times New Roman"/>
          <w:sz w:val="32"/>
          <w:szCs w:val="32"/>
          <w:lang w:val="en-US" w:eastAsia="zh-CN"/>
        </w:rPr>
        <w:t>23</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增加</w:t>
      </w:r>
      <w:r>
        <w:rPr>
          <w:rFonts w:hint="eastAsia" w:ascii="Times New Roman" w:hAnsi="Times New Roman" w:eastAsia="仿宋_GB2312" w:cs="Times New Roman"/>
          <w:sz w:val="32"/>
          <w:szCs w:val="32"/>
          <w:lang w:val="en-US" w:eastAsia="zh-CN"/>
        </w:rPr>
        <w:t>11.44</w:t>
      </w:r>
      <w:r>
        <w:rPr>
          <w:rFonts w:hint="eastAsia" w:ascii="Times New Roman" w:hAnsi="Times New Roman" w:eastAsia="仿宋_GB2312" w:cs="Times New Roman"/>
          <w:sz w:val="32"/>
          <w:szCs w:val="32"/>
        </w:rPr>
        <w:t>万元，增长</w:t>
      </w:r>
      <w:r>
        <w:rPr>
          <w:rFonts w:hint="eastAsia" w:ascii="Times New Roman" w:hAnsi="Times New Roman" w:eastAsia="仿宋_GB2312" w:cs="Times New Roman"/>
          <w:sz w:val="32"/>
          <w:szCs w:val="32"/>
          <w:lang w:val="en-US" w:eastAsia="zh-CN"/>
        </w:rPr>
        <w:t>4.28</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增长原因：2023年度培训费为运转类项目，2024年度将培训费12万元列入非定额公用经费中，故机关运行运行经费支出增加。</w:t>
      </w:r>
    </w:p>
    <w:p w14:paraId="068D0FDD">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2"/>
        <w:rPr>
          <w:rFonts w:hint="eastAsia" w:ascii="楷体_GB2312" w:hAnsi="楷体_GB2312" w:eastAsia="楷体_GB2312" w:cs="楷体_GB2312"/>
          <w:b w:val="0"/>
          <w:bCs/>
          <w:sz w:val="32"/>
          <w:szCs w:val="32"/>
          <w:lang w:val="en-US" w:eastAsia="zh-CN"/>
        </w:rPr>
      </w:pPr>
      <w:bookmarkStart w:id="44" w:name="_Toc15377223"/>
      <w:r>
        <w:rPr>
          <w:rFonts w:hint="eastAsia" w:ascii="楷体_GB2312" w:hAnsi="楷体_GB2312" w:eastAsia="楷体_GB2312" w:cs="楷体_GB2312"/>
          <w:b w:val="0"/>
          <w:bCs/>
          <w:sz w:val="32"/>
          <w:szCs w:val="32"/>
          <w:lang w:val="en-US" w:eastAsia="zh-CN"/>
        </w:rPr>
        <w:t>（二）政府采购支出情况</w:t>
      </w:r>
      <w:bookmarkEnd w:id="44"/>
    </w:p>
    <w:p w14:paraId="5BDA46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度</w:t>
      </w:r>
      <w:r>
        <w:rPr>
          <w:rFonts w:hint="eastAsia" w:ascii="Times New Roman" w:hAnsi="Times New Roman" w:eastAsia="仿宋_GB2312" w:cs="Times New Roman"/>
          <w:sz w:val="32"/>
          <w:szCs w:val="32"/>
        </w:rPr>
        <w:t>省食品药品审查评价及安全监测中心政府采购支出总额</w:t>
      </w:r>
      <w:r>
        <w:rPr>
          <w:rFonts w:hint="eastAsia" w:ascii="Times New Roman" w:hAnsi="Times New Roman" w:eastAsia="仿宋_GB2312" w:cs="Times New Roman"/>
          <w:color w:val="auto"/>
          <w:sz w:val="32"/>
          <w:szCs w:val="32"/>
          <w:lang w:val="en-US" w:eastAsia="zh-CN"/>
        </w:rPr>
        <w:t>359.68</w:t>
      </w:r>
      <w:r>
        <w:rPr>
          <w:rFonts w:hint="eastAsia" w:ascii="Times New Roman" w:hAnsi="Times New Roman" w:eastAsia="仿宋_GB2312" w:cs="Times New Roman"/>
          <w:sz w:val="32"/>
          <w:szCs w:val="32"/>
        </w:rPr>
        <w:t>万元，其中：政府采购货物支出</w:t>
      </w:r>
      <w:r>
        <w:rPr>
          <w:rFonts w:hint="eastAsia" w:ascii="Times New Roman" w:hAnsi="Times New Roman" w:eastAsia="仿宋_GB2312" w:cs="Times New Roman"/>
          <w:color w:val="auto"/>
          <w:sz w:val="32"/>
          <w:szCs w:val="32"/>
          <w:lang w:val="en-US" w:eastAsia="zh-CN"/>
        </w:rPr>
        <w:t>0</w:t>
      </w:r>
      <w:r>
        <w:rPr>
          <w:rFonts w:hint="eastAsia" w:ascii="Times New Roman" w:hAnsi="Times New Roman" w:eastAsia="仿宋_GB2312" w:cs="Times New Roman"/>
          <w:sz w:val="32"/>
          <w:szCs w:val="32"/>
        </w:rPr>
        <w:t>万元、政府采购工程支出0万元、政府采购服务支出</w:t>
      </w:r>
      <w:r>
        <w:rPr>
          <w:rFonts w:hint="eastAsia" w:ascii="Times New Roman" w:hAnsi="Times New Roman" w:eastAsia="仿宋_GB2312" w:cs="Times New Roman"/>
          <w:color w:val="auto"/>
          <w:sz w:val="32"/>
          <w:szCs w:val="32"/>
          <w:lang w:val="en-US" w:eastAsia="zh-CN"/>
        </w:rPr>
        <w:t>359.68</w:t>
      </w:r>
      <w:r>
        <w:rPr>
          <w:rFonts w:hint="eastAsia" w:ascii="Times New Roman" w:hAnsi="Times New Roman" w:eastAsia="仿宋_GB2312" w:cs="Times New Roman"/>
          <w:sz w:val="32"/>
          <w:szCs w:val="32"/>
        </w:rPr>
        <w:t>万元。主要用于保障我中心基本运转等项目。授予中小企业合同金额</w:t>
      </w:r>
      <w:r>
        <w:rPr>
          <w:rFonts w:hint="eastAsia" w:ascii="Times New Roman" w:hAnsi="Times New Roman" w:eastAsia="仿宋_GB2312" w:cs="Times New Roman"/>
          <w:color w:val="auto"/>
          <w:sz w:val="32"/>
          <w:szCs w:val="32"/>
          <w:lang w:val="en-US" w:eastAsia="zh-CN"/>
        </w:rPr>
        <w:t>359.68</w:t>
      </w:r>
      <w:r>
        <w:rPr>
          <w:rFonts w:hint="eastAsia" w:ascii="Times New Roman" w:hAnsi="Times New Roman" w:eastAsia="仿宋_GB2312" w:cs="Times New Roman"/>
          <w:sz w:val="32"/>
          <w:szCs w:val="32"/>
        </w:rPr>
        <w:t>万元，占政府采购支出总额的</w:t>
      </w:r>
      <w:r>
        <w:rPr>
          <w:rFonts w:hint="eastAsia" w:ascii="Times New Roman" w:hAnsi="Times New Roman" w:eastAsia="仿宋_GB2312" w:cs="Times New Roman"/>
          <w:color w:val="auto"/>
          <w:sz w:val="32"/>
          <w:szCs w:val="32"/>
          <w:lang w:val="en-US" w:eastAsia="zh-CN"/>
        </w:rPr>
        <w:t>100</w:t>
      </w:r>
      <w:r>
        <w:rPr>
          <w:rFonts w:hint="eastAsia" w:ascii="Times New Roman" w:hAnsi="Times New Roman" w:eastAsia="仿宋_GB2312" w:cs="Times New Roman"/>
          <w:sz w:val="32"/>
          <w:szCs w:val="32"/>
        </w:rPr>
        <w:t>%，其中：授予小微企业合同金额</w:t>
      </w:r>
      <w:r>
        <w:rPr>
          <w:rFonts w:hint="eastAsia" w:ascii="Times New Roman" w:hAnsi="Times New Roman" w:eastAsia="仿宋_GB2312" w:cs="Times New Roman"/>
          <w:color w:val="auto"/>
          <w:sz w:val="32"/>
          <w:szCs w:val="32"/>
          <w:lang w:val="en-US" w:eastAsia="zh-CN"/>
        </w:rPr>
        <w:t>359.68</w:t>
      </w:r>
      <w:r>
        <w:rPr>
          <w:rFonts w:hint="eastAsia" w:ascii="Times New Roman" w:hAnsi="Times New Roman" w:eastAsia="仿宋_GB2312" w:cs="Times New Roman"/>
          <w:sz w:val="32"/>
          <w:szCs w:val="32"/>
        </w:rPr>
        <w:t>万元，占政府采购支出总额的</w:t>
      </w:r>
      <w:r>
        <w:rPr>
          <w:rFonts w:hint="eastAsia" w:ascii="Times New Roman" w:hAnsi="Times New Roman" w:eastAsia="仿宋_GB2312" w:cs="Times New Roman"/>
          <w:color w:val="auto"/>
          <w:sz w:val="32"/>
          <w:szCs w:val="32"/>
          <w:lang w:val="en-US" w:eastAsia="zh-CN"/>
        </w:rPr>
        <w:t>100</w:t>
      </w:r>
      <w:r>
        <w:rPr>
          <w:rFonts w:hint="eastAsia" w:ascii="Times New Roman" w:hAnsi="Times New Roman" w:eastAsia="仿宋_GB2312" w:cs="Times New Roman"/>
          <w:sz w:val="32"/>
          <w:szCs w:val="32"/>
        </w:rPr>
        <w:t>%。</w:t>
      </w:r>
    </w:p>
    <w:p w14:paraId="61146E1F">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2"/>
        <w:rPr>
          <w:rFonts w:hint="eastAsia" w:ascii="楷体_GB2312" w:hAnsi="楷体_GB2312" w:eastAsia="楷体_GB2312" w:cs="楷体_GB2312"/>
          <w:b w:val="0"/>
          <w:bCs/>
          <w:sz w:val="32"/>
          <w:szCs w:val="32"/>
          <w:lang w:val="en-US" w:eastAsia="zh-CN"/>
        </w:rPr>
      </w:pPr>
      <w:bookmarkStart w:id="45" w:name="_Toc15377224"/>
      <w:r>
        <w:rPr>
          <w:rFonts w:hint="eastAsia" w:ascii="楷体_GB2312" w:hAnsi="楷体_GB2312" w:eastAsia="楷体_GB2312" w:cs="楷体_GB2312"/>
          <w:b w:val="0"/>
          <w:bCs/>
          <w:sz w:val="32"/>
          <w:szCs w:val="32"/>
          <w:lang w:val="en-US" w:eastAsia="zh-CN"/>
        </w:rPr>
        <w:t>（三）国有资产占有使用情况</w:t>
      </w:r>
      <w:bookmarkEnd w:id="45"/>
    </w:p>
    <w:p w14:paraId="65F113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截至202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12月31日，省食品药品审查评价及安全监测中心共有车辆2辆，其中：主要领导干部用车0辆、机要通信用车0辆、应急保障用车1辆、其他用车1辆。其他用车主要是用于主要保障中心药械化专项检查、工作会议、文件资料运送传递等业务工作的开展。单价50万元以上通用设备0台（套），单价100万元以上专用设备0台（套）。</w:t>
      </w:r>
    </w:p>
    <w:p w14:paraId="60ED800F">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2"/>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（四）预算绩效管理情况</w:t>
      </w:r>
    </w:p>
    <w:p w14:paraId="30B165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sz w:val="32"/>
          <w:szCs w:val="32"/>
        </w:rPr>
        <w:t>根据预算绩效管理要求，本单位在202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年度预算编制阶段，</w:t>
      </w:r>
      <w:r>
        <w:rPr>
          <w:rFonts w:hint="eastAsia" w:ascii="Times New Roman" w:hAnsi="Times New Roman" w:eastAsia="仿宋_GB2312" w:cs="Times New Roman"/>
          <w:sz w:val="32"/>
          <w:szCs w:val="32"/>
          <w:lang w:val="en-US" w:eastAsia="zh-CN"/>
        </w:rPr>
        <w:t>组织对一个项目开展了预算事前绩效评估，</w:t>
      </w:r>
      <w:r>
        <w:rPr>
          <w:rFonts w:hint="eastAsia" w:ascii="Times New Roman" w:hAnsi="Times New Roman" w:eastAsia="仿宋_GB2312" w:cs="Times New Roman"/>
          <w:sz w:val="32"/>
          <w:szCs w:val="32"/>
        </w:rPr>
        <w:t>对</w:t>
      </w:r>
      <w:r>
        <w:rPr>
          <w:rFonts w:hint="eastAsia" w:ascii="Times New Roman" w:hAnsi="Times New Roman" w:eastAsia="仿宋_GB2312" w:cs="Times New Roman"/>
          <w:sz w:val="32"/>
          <w:szCs w:val="32"/>
          <w:lang w:eastAsia="zh-CN"/>
        </w:rPr>
        <w:t>医疗</w:t>
      </w:r>
      <w:r>
        <w:rPr>
          <w:rFonts w:hint="eastAsia" w:ascii="Times New Roman" w:hAnsi="Times New Roman" w:eastAsia="仿宋_GB2312" w:cs="Times New Roman"/>
          <w:sz w:val="32"/>
          <w:szCs w:val="32"/>
        </w:rPr>
        <w:t>器械综合监管、药品综合监管</w:t>
      </w:r>
      <w:r>
        <w:rPr>
          <w:rFonts w:hint="eastAsia" w:ascii="Times New Roman" w:hAnsi="Times New Roman" w:eastAsia="仿宋_GB2312" w:cs="Times New Roman"/>
          <w:sz w:val="32"/>
          <w:szCs w:val="32"/>
          <w:lang w:val="en-US" w:eastAsia="zh-CN"/>
        </w:rPr>
        <w:t>等23个</w:t>
      </w:r>
      <w:r>
        <w:rPr>
          <w:rFonts w:hint="eastAsia" w:ascii="Times New Roman" w:hAnsi="Times New Roman" w:eastAsia="仿宋_GB2312" w:cs="Times New Roman"/>
          <w:sz w:val="32"/>
          <w:szCs w:val="32"/>
        </w:rPr>
        <w:t>项目编制了绩效目标，预算执行过程中，</w:t>
      </w:r>
      <w:r>
        <w:rPr>
          <w:rFonts w:hint="eastAsia" w:ascii="Times New Roman" w:hAnsi="Times New Roman" w:eastAsia="仿宋_GB2312" w:cs="Times New Roman"/>
          <w:sz w:val="32"/>
          <w:szCs w:val="32"/>
          <w:lang w:val="en-US" w:eastAsia="zh-CN"/>
        </w:rPr>
        <w:t>对23</w:t>
      </w:r>
      <w:r>
        <w:rPr>
          <w:rFonts w:hint="eastAsia" w:ascii="Times New Roman" w:hAnsi="Times New Roman" w:eastAsia="仿宋_GB2312" w:cs="Times New Roman"/>
          <w:sz w:val="32"/>
          <w:szCs w:val="32"/>
        </w:rPr>
        <w:t>个项目开展绩效监控</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color w:val="auto"/>
          <w:sz w:val="32"/>
          <w:szCs w:val="32"/>
        </w:rPr>
        <w:t>年终执行完毕后，</w:t>
      </w:r>
      <w:r>
        <w:rPr>
          <w:rFonts w:hint="eastAsia" w:ascii="Times New Roman" w:hAnsi="Times New Roman" w:eastAsia="仿宋_GB2312" w:cs="Times New Roman"/>
          <w:color w:val="auto"/>
          <w:sz w:val="32"/>
          <w:szCs w:val="32"/>
          <w:lang w:val="en-US" w:eastAsia="zh-CN"/>
        </w:rPr>
        <w:t>对2024年度中央药品监管补助资金</w:t>
      </w:r>
      <w:r>
        <w:rPr>
          <w:rFonts w:hint="eastAsia" w:ascii="Times New Roman" w:hAnsi="Times New Roman" w:eastAsia="仿宋_GB2312" w:cs="Times New Roman"/>
          <w:color w:val="auto"/>
          <w:sz w:val="32"/>
          <w:szCs w:val="32"/>
        </w:rPr>
        <w:t>项目开展了绩效目标完成情况自评</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项目自评得分102分。</w:t>
      </w:r>
      <w:r>
        <w:rPr>
          <w:rFonts w:hint="eastAsia" w:ascii="Times New Roman" w:hAnsi="Times New Roman" w:eastAsia="仿宋_GB2312" w:cs="Times New Roman"/>
          <w:color w:val="auto"/>
          <w:kern w:val="2"/>
          <w:sz w:val="32"/>
          <w:szCs w:val="32"/>
          <w:lang w:val="en-US" w:eastAsia="zh-CN" w:bidi="ar-SA"/>
        </w:rPr>
        <w:t>省级药品监管专项自评得分100分，</w:t>
      </w:r>
      <w:r>
        <w:rPr>
          <w:rFonts w:hint="eastAsia" w:ascii="Times New Roman" w:hAnsi="Times New Roman" w:eastAsia="仿宋_GB2312" w:cs="Times New Roman"/>
          <w:color w:val="auto"/>
          <w:sz w:val="32"/>
          <w:szCs w:val="32"/>
          <w:lang w:val="en-US" w:eastAsia="zh-CN"/>
        </w:rPr>
        <w:t>项目自评报告详见第四部分附件。</w:t>
      </w:r>
    </w:p>
    <w:p w14:paraId="7F732FED">
      <w:pPr>
        <w:pStyle w:val="9"/>
        <w:rPr>
          <w:rFonts w:hint="default" w:ascii="Times New Roman" w:hAnsi="Times New Roman" w:eastAsia="仿宋_GB2312" w:cs="Times New Roman"/>
          <w:color w:val="auto"/>
          <w:sz w:val="32"/>
          <w:szCs w:val="32"/>
          <w:lang w:val="en-US" w:eastAsia="zh-CN"/>
        </w:rPr>
      </w:pPr>
    </w:p>
    <w:p w14:paraId="13A86EC6">
      <w:pPr>
        <w:pStyle w:val="9"/>
        <w:rPr>
          <w:rFonts w:hint="default" w:ascii="Times New Roman" w:hAnsi="Times New Roman" w:eastAsia="仿宋_GB2312" w:cs="Times New Roman"/>
          <w:color w:val="auto"/>
          <w:sz w:val="32"/>
          <w:szCs w:val="32"/>
          <w:lang w:val="en-US" w:eastAsia="zh-CN"/>
        </w:rPr>
      </w:pPr>
    </w:p>
    <w:p w14:paraId="55ECA875">
      <w:pPr>
        <w:pStyle w:val="9"/>
        <w:rPr>
          <w:rFonts w:hint="default" w:ascii="Times New Roman" w:hAnsi="Times New Roman" w:eastAsia="仿宋_GB2312" w:cs="Times New Roman"/>
          <w:color w:val="auto"/>
          <w:sz w:val="32"/>
          <w:szCs w:val="32"/>
          <w:lang w:val="en-US" w:eastAsia="zh-CN"/>
        </w:rPr>
      </w:pPr>
    </w:p>
    <w:p w14:paraId="48716479">
      <w:pPr>
        <w:pStyle w:val="9"/>
        <w:rPr>
          <w:rFonts w:hint="default" w:ascii="Times New Roman" w:hAnsi="Times New Roman" w:eastAsia="仿宋_GB2312" w:cs="Times New Roman"/>
          <w:color w:val="auto"/>
          <w:sz w:val="32"/>
          <w:szCs w:val="32"/>
          <w:lang w:val="en-US" w:eastAsia="zh-CN"/>
        </w:rPr>
      </w:pPr>
    </w:p>
    <w:p w14:paraId="52498D38">
      <w:pPr>
        <w:pStyle w:val="9"/>
        <w:rPr>
          <w:rFonts w:hint="default" w:ascii="Times New Roman" w:hAnsi="Times New Roman" w:eastAsia="仿宋_GB2312" w:cs="Times New Roman"/>
          <w:color w:val="auto"/>
          <w:sz w:val="32"/>
          <w:szCs w:val="32"/>
          <w:lang w:val="en-US" w:eastAsia="zh-CN"/>
        </w:rPr>
      </w:pPr>
    </w:p>
    <w:p w14:paraId="21B4896F">
      <w:pPr>
        <w:pStyle w:val="9"/>
        <w:rPr>
          <w:rFonts w:hint="default" w:ascii="Times New Roman" w:hAnsi="Times New Roman" w:eastAsia="仿宋_GB2312" w:cs="Times New Roman"/>
          <w:color w:val="auto"/>
          <w:sz w:val="32"/>
          <w:szCs w:val="32"/>
          <w:lang w:val="en-US" w:eastAsia="zh-CN"/>
        </w:rPr>
      </w:pPr>
    </w:p>
    <w:p w14:paraId="35CB9F05">
      <w:pPr>
        <w:pStyle w:val="9"/>
        <w:rPr>
          <w:rFonts w:hint="default" w:ascii="Times New Roman" w:hAnsi="Times New Roman" w:eastAsia="仿宋_GB2312" w:cs="Times New Roman"/>
          <w:color w:val="auto"/>
          <w:sz w:val="32"/>
          <w:szCs w:val="32"/>
          <w:lang w:val="en-US" w:eastAsia="zh-CN"/>
        </w:rPr>
      </w:pPr>
    </w:p>
    <w:p w14:paraId="3EE7C669">
      <w:pPr>
        <w:pStyle w:val="9"/>
        <w:rPr>
          <w:rFonts w:hint="default" w:ascii="Times New Roman" w:hAnsi="Times New Roman" w:eastAsia="仿宋_GB2312" w:cs="Times New Roman"/>
          <w:color w:val="auto"/>
          <w:sz w:val="32"/>
          <w:szCs w:val="32"/>
          <w:lang w:val="en-US" w:eastAsia="zh-CN"/>
        </w:rPr>
      </w:pPr>
    </w:p>
    <w:p w14:paraId="290B40E7">
      <w:pPr>
        <w:pStyle w:val="9"/>
        <w:rPr>
          <w:rFonts w:hint="default" w:ascii="Times New Roman" w:hAnsi="Times New Roman" w:eastAsia="仿宋_GB2312" w:cs="Times New Roman"/>
          <w:color w:val="auto"/>
          <w:sz w:val="32"/>
          <w:szCs w:val="32"/>
          <w:lang w:val="en-US" w:eastAsia="zh-CN"/>
        </w:rPr>
      </w:pPr>
    </w:p>
    <w:p w14:paraId="56542959">
      <w:pPr>
        <w:pStyle w:val="9"/>
        <w:rPr>
          <w:rFonts w:hint="default" w:ascii="Times New Roman" w:hAnsi="Times New Roman" w:eastAsia="仿宋_GB2312" w:cs="Times New Roman"/>
          <w:color w:val="auto"/>
          <w:sz w:val="32"/>
          <w:szCs w:val="32"/>
          <w:lang w:val="en-US" w:eastAsia="zh-CN"/>
        </w:rPr>
      </w:pPr>
    </w:p>
    <w:p w14:paraId="3C514B28">
      <w:pPr>
        <w:pStyle w:val="9"/>
        <w:rPr>
          <w:rFonts w:hint="default" w:ascii="Times New Roman" w:hAnsi="Times New Roman" w:eastAsia="仿宋_GB2312" w:cs="Times New Roman"/>
          <w:color w:val="auto"/>
          <w:sz w:val="32"/>
          <w:szCs w:val="32"/>
          <w:lang w:val="en-US" w:eastAsia="zh-CN"/>
        </w:rPr>
      </w:pPr>
    </w:p>
    <w:p w14:paraId="3680FDA0">
      <w:pPr>
        <w:pStyle w:val="9"/>
        <w:rPr>
          <w:rFonts w:hint="default" w:ascii="Times New Roman" w:hAnsi="Times New Roman" w:eastAsia="仿宋_GB2312" w:cs="Times New Roman"/>
          <w:color w:val="auto"/>
          <w:sz w:val="32"/>
          <w:szCs w:val="32"/>
          <w:lang w:val="en-US" w:eastAsia="zh-CN"/>
        </w:rPr>
      </w:pPr>
    </w:p>
    <w:p w14:paraId="5FF3BC3C">
      <w:pPr>
        <w:pStyle w:val="9"/>
        <w:rPr>
          <w:rFonts w:hint="default" w:ascii="Times New Roman" w:hAnsi="Times New Roman" w:eastAsia="仿宋_GB2312" w:cs="Times New Roman"/>
          <w:color w:val="auto"/>
          <w:sz w:val="32"/>
          <w:szCs w:val="32"/>
          <w:lang w:val="en-US" w:eastAsia="zh-CN"/>
        </w:rPr>
      </w:pPr>
    </w:p>
    <w:p w14:paraId="3A03A41E">
      <w:pPr>
        <w:pStyle w:val="9"/>
        <w:rPr>
          <w:rFonts w:hint="default" w:ascii="Times New Roman" w:hAnsi="Times New Roman" w:eastAsia="仿宋_GB2312" w:cs="Times New Roman"/>
          <w:color w:val="auto"/>
          <w:sz w:val="32"/>
          <w:szCs w:val="32"/>
          <w:lang w:val="en-US" w:eastAsia="zh-CN"/>
        </w:rPr>
      </w:pPr>
    </w:p>
    <w:p w14:paraId="4767F392">
      <w:pPr>
        <w:pStyle w:val="9"/>
        <w:rPr>
          <w:rFonts w:hint="default" w:ascii="Times New Roman" w:hAnsi="Times New Roman" w:eastAsia="仿宋_GB2312" w:cs="Times New Roman"/>
          <w:color w:val="auto"/>
          <w:sz w:val="32"/>
          <w:szCs w:val="32"/>
          <w:lang w:val="en-US" w:eastAsia="zh-CN"/>
        </w:rPr>
      </w:pPr>
    </w:p>
    <w:p w14:paraId="15684B4B">
      <w:pPr>
        <w:pStyle w:val="9"/>
        <w:rPr>
          <w:rFonts w:hint="default" w:ascii="Times New Roman" w:hAnsi="Times New Roman" w:eastAsia="仿宋_GB2312" w:cs="Times New Roman"/>
          <w:color w:val="auto"/>
          <w:sz w:val="32"/>
          <w:szCs w:val="32"/>
          <w:lang w:val="en-US" w:eastAsia="zh-CN"/>
        </w:rPr>
      </w:pPr>
    </w:p>
    <w:p w14:paraId="7FB0F5EF">
      <w:pPr>
        <w:pStyle w:val="9"/>
        <w:rPr>
          <w:rFonts w:hint="default" w:ascii="Times New Roman" w:hAnsi="Times New Roman" w:eastAsia="仿宋_GB2312" w:cs="Times New Roman"/>
          <w:color w:val="auto"/>
          <w:sz w:val="32"/>
          <w:szCs w:val="32"/>
          <w:lang w:val="en-US" w:eastAsia="zh-CN"/>
        </w:rPr>
      </w:pPr>
    </w:p>
    <w:p w14:paraId="67EF382F">
      <w:pPr>
        <w:pStyle w:val="9"/>
        <w:rPr>
          <w:rFonts w:hint="default" w:ascii="Times New Roman" w:hAnsi="Times New Roman" w:eastAsia="仿宋_GB2312" w:cs="Times New Roman"/>
          <w:color w:val="auto"/>
          <w:sz w:val="32"/>
          <w:szCs w:val="32"/>
          <w:lang w:val="en-US" w:eastAsia="zh-CN"/>
        </w:rPr>
      </w:pPr>
    </w:p>
    <w:p w14:paraId="7B7AAE1C">
      <w:pPr>
        <w:pStyle w:val="2"/>
        <w:keepNext w:val="0"/>
        <w:keepLines w:val="0"/>
        <w:pageBreakBefore w:val="0"/>
        <w:widowControl w:val="0"/>
        <w:kinsoku/>
        <w:wordWrap/>
        <w:overflowPunct/>
        <w:topLinePunct w:val="0"/>
        <w:bidi w:val="0"/>
        <w:snapToGrid/>
        <w:spacing w:line="560" w:lineRule="exact"/>
        <w:textAlignment w:val="auto"/>
        <w:rPr>
          <w:rFonts w:hint="default" w:hAnsi="仿宋_GB2312" w:cs="仿宋_GB2312"/>
          <w:color w:val="auto"/>
          <w:sz w:val="32"/>
          <w:szCs w:val="32"/>
          <w:highlight w:val="none"/>
          <w:lang w:val="en-US" w:eastAsia="zh-CN"/>
        </w:rPr>
      </w:pPr>
    </w:p>
    <w:p w14:paraId="64C338EA">
      <w:pPr>
        <w:keepNext w:val="0"/>
        <w:keepLines w:val="0"/>
        <w:pageBreakBefore w:val="0"/>
        <w:widowControl w:val="0"/>
        <w:numPr>
          <w:ilvl w:val="0"/>
          <w:numId w:val="0"/>
        </w:numPr>
        <w:kinsoku/>
        <w:wordWrap/>
        <w:overflowPunct/>
        <w:topLinePunct w:val="0"/>
        <w:bidi w:val="0"/>
        <w:snapToGrid/>
        <w:spacing w:line="560" w:lineRule="exact"/>
        <w:jc w:val="center"/>
        <w:textAlignment w:val="auto"/>
        <w:outlineLvl w:val="0"/>
        <w:rPr>
          <w:rStyle w:val="23"/>
          <w:rFonts w:ascii="黑体" w:hAnsi="黑体" w:eastAsia="黑体"/>
          <w:b w:val="0"/>
        </w:rPr>
      </w:pPr>
      <w:bookmarkStart w:id="46" w:name="_Toc15377225"/>
      <w:bookmarkStart w:id="47" w:name="_Toc15396613"/>
      <w:r>
        <w:rPr>
          <w:rFonts w:hint="eastAsia" w:ascii="黑体" w:hAnsi="黑体" w:eastAsia="黑体"/>
          <w:color w:val="000000"/>
          <w:sz w:val="44"/>
          <w:szCs w:val="44"/>
          <w:lang w:val="en-US" w:eastAsia="zh-CN"/>
        </w:rPr>
        <w:t xml:space="preserve">第三部分 </w:t>
      </w:r>
      <w:r>
        <w:rPr>
          <w:rFonts w:hint="eastAsia" w:ascii="黑体" w:hAnsi="黑体" w:eastAsia="黑体"/>
          <w:color w:val="000000"/>
          <w:sz w:val="44"/>
          <w:szCs w:val="44"/>
        </w:rPr>
        <w:t>名</w:t>
      </w:r>
      <w:r>
        <w:rPr>
          <w:rStyle w:val="23"/>
          <w:rFonts w:hint="eastAsia" w:ascii="黑体" w:hAnsi="黑体" w:eastAsia="黑体"/>
          <w:b w:val="0"/>
        </w:rPr>
        <w:t>词解释</w:t>
      </w:r>
      <w:bookmarkEnd w:id="46"/>
      <w:bookmarkEnd w:id="47"/>
    </w:p>
    <w:p w14:paraId="7A06D907">
      <w:pPr>
        <w:keepNext w:val="0"/>
        <w:keepLines w:val="0"/>
        <w:pageBreakBefore w:val="0"/>
        <w:widowControl w:val="0"/>
        <w:kinsoku/>
        <w:wordWrap/>
        <w:overflowPunct/>
        <w:topLinePunct w:val="0"/>
        <w:bidi w:val="0"/>
        <w:snapToGrid/>
        <w:spacing w:line="560" w:lineRule="exact"/>
        <w:jc w:val="left"/>
        <w:textAlignment w:val="auto"/>
        <w:rPr>
          <w:rFonts w:ascii="宋体"/>
          <w:b/>
          <w:color w:val="000000"/>
          <w:sz w:val="44"/>
          <w:szCs w:val="44"/>
        </w:rPr>
      </w:pPr>
    </w:p>
    <w:p w14:paraId="6602E5F9">
      <w:pPr>
        <w:pStyle w:val="36"/>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1.财政拨款收入：指单位从同级财政部门取得的财政预算资金。</w:t>
      </w:r>
    </w:p>
    <w:p w14:paraId="642EDB33">
      <w:pPr>
        <w:pStyle w:val="36"/>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2.其他收入：指单位取得的除上述收入以外的各项收入。</w:t>
      </w:r>
    </w:p>
    <w:p w14:paraId="1E6BD476">
      <w:pPr>
        <w:pStyle w:val="36"/>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3.年初结转和结余：指以前年度尚未完成、结转到本年按有关规定继续使用的资金。</w:t>
      </w:r>
    </w:p>
    <w:p w14:paraId="52EB2BD1">
      <w:pPr>
        <w:pStyle w:val="36"/>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4.年末结转和结余：指单位按有关规定结转到下年或以后年度继续使用的资金。</w:t>
      </w:r>
    </w:p>
    <w:p w14:paraId="7589932D">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5.一般公共服务（类）市场监督管理事务（款）行政运行（项）：反映行政单位（包括实行公务员管理的事业单位）的基本支出。</w:t>
      </w:r>
    </w:p>
    <w:p w14:paraId="051F19B4">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6.一般公共服务（类）市场监督管理事务（款）信息化建设（项）:反映行政单位（包括实行公务员管理的事业单位）信息化建设支出。</w:t>
      </w:r>
    </w:p>
    <w:p w14:paraId="2785EB68">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7.一般公共服务（类）市场监督管理事务（款）药品事务（项）：反映用于药品（含中药、民族药）安全监督管理方面的支出。</w:t>
      </w:r>
    </w:p>
    <w:p w14:paraId="2C9780B9">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8.一般公共服务（类）市场监督管理事务（款）医疗器械事务（项）：反映用于医疗器械安全监督管理方面的支出。</w:t>
      </w:r>
    </w:p>
    <w:p w14:paraId="57B4ECEA">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9.一般公共服务（类）市场监督管理事务（款）化妆品事务（项）：反映用于化妆品安全监督管理方面的支出。</w:t>
      </w:r>
    </w:p>
    <w:p w14:paraId="4D3432CD">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10.一般公共服务（类）市场监督管理事务（款）其他市场监督管理事务（项）：反映除上述项目以外其他用于市场监督管理事务方面的支出。</w:t>
      </w:r>
    </w:p>
    <w:p w14:paraId="409D53ED">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 xml:space="preserve">11.教育支出（类）进修及培训（款）培训支出（项）:反映各部门安排的用于培训的支出。 </w:t>
      </w:r>
    </w:p>
    <w:p w14:paraId="01BBFB8D">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12.社会保障和就业（类）行政事业单位离退休（款）未归口管理的行政单位离退休（项）：反映未归口管理的行政单位（包括实行公务员管理的事业单位）开支的离退休经费。</w:t>
      </w:r>
    </w:p>
    <w:p w14:paraId="709C5979">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13.社会保障和就业（类）行政事业单位离退休（款）机关事业单位基本养老保险缴费支出（项）:反映机关事业单位实行养老保险制度由单位缴纳的基本养老保险费支出。</w:t>
      </w:r>
    </w:p>
    <w:p w14:paraId="6169FDA9">
      <w:pPr>
        <w:keepNext w:val="0"/>
        <w:keepLines w:val="0"/>
        <w:pageBreakBefore w:val="0"/>
        <w:widowControl w:val="0"/>
        <w:kinsoku/>
        <w:wordWrap/>
        <w:overflowPunct/>
        <w:topLinePunct w:val="0"/>
        <w:bidi w:val="0"/>
        <w:snapToGrid/>
        <w:spacing w:line="560" w:lineRule="exact"/>
        <w:ind w:firstLine="627" w:firstLineChars="196"/>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14.医疗卫生与计划生育（类）行政事业单位医疗（款）行政单位医疗（项）：反映财政部门集中安排的行政单位基本医疗保险缴费经费，未参加医疗保险的行政单位的公费医疗经费，按国家规定享受离休人员、红军老战士待遇人员的医疗经费。</w:t>
      </w:r>
    </w:p>
    <w:p w14:paraId="64AD80C1">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15.医疗卫生与计划生育（类）行政事业单位医疗（款）公务员医疗补助（项）: 反映财政部门集中安排的公务员医疗补助经费。</w:t>
      </w:r>
    </w:p>
    <w:p w14:paraId="4DFE71F9">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16.住房保障（类）住房改革支出（款）住房公积金（项）：反映行政事业单位按人力资源和社会保障部、财政部规定的基本工资和津贴补贴以及规定比例为职工缴纳的住房公积金。</w:t>
      </w:r>
    </w:p>
    <w:p w14:paraId="746CDBAB">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17.住房保障（类）住房改革支出（款）购房补贴（项）：反映按房改办政策规定，行政事业单位向符合条件职工（含退休人员）、军队（含武警）向转疫复员离退休人员发放的用于购买住房的补贴。</w:t>
      </w:r>
    </w:p>
    <w:p w14:paraId="7C6E6FA7">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18.基本支出：指为保障机构正常运转、完成日常工作任务而发生的人员支出和公用支出。</w:t>
      </w:r>
    </w:p>
    <w:p w14:paraId="1A7BAA1B">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 xml:space="preserve">19.项目支出：指在基本支出之外为完成特定行政任务和事业发展目标所发生的支出。 </w:t>
      </w:r>
    </w:p>
    <w:p w14:paraId="14A9A525">
      <w:pPr>
        <w:pStyle w:val="36"/>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20.“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3025539">
      <w:pPr>
        <w:pStyle w:val="36"/>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21.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990AA26">
      <w:pPr>
        <w:spacing w:line="600" w:lineRule="exact"/>
        <w:jc w:val="center"/>
        <w:outlineLvl w:val="0"/>
        <w:rPr>
          <w:rFonts w:hint="eastAsia" w:ascii="黑体" w:hAnsi="黑体" w:eastAsia="黑体"/>
          <w:color w:val="000000"/>
          <w:sz w:val="44"/>
          <w:szCs w:val="44"/>
        </w:rPr>
      </w:pPr>
      <w:bookmarkStart w:id="48" w:name="_Toc15396614"/>
    </w:p>
    <w:p w14:paraId="53C2C096">
      <w:pPr>
        <w:keepNext w:val="0"/>
        <w:keepLines w:val="0"/>
        <w:pageBreakBefore w:val="0"/>
        <w:widowControl w:val="0"/>
        <w:kinsoku/>
        <w:wordWrap/>
        <w:overflowPunct/>
        <w:topLinePunct w:val="0"/>
        <w:autoSpaceDE/>
        <w:autoSpaceDN/>
        <w:bidi w:val="0"/>
        <w:spacing w:line="560" w:lineRule="exact"/>
        <w:jc w:val="center"/>
        <w:textAlignment w:val="auto"/>
        <w:outlineLvl w:val="0"/>
        <w:rPr>
          <w:rFonts w:hint="eastAsia" w:ascii="黑体" w:hAnsi="黑体" w:eastAsia="黑体"/>
          <w:color w:val="000000"/>
          <w:sz w:val="44"/>
          <w:szCs w:val="44"/>
        </w:rPr>
      </w:pPr>
    </w:p>
    <w:p w14:paraId="70374322">
      <w:pPr>
        <w:keepNext w:val="0"/>
        <w:keepLines w:val="0"/>
        <w:pageBreakBefore w:val="0"/>
        <w:widowControl w:val="0"/>
        <w:kinsoku/>
        <w:wordWrap/>
        <w:overflowPunct/>
        <w:topLinePunct w:val="0"/>
        <w:autoSpaceDE/>
        <w:autoSpaceDN/>
        <w:bidi w:val="0"/>
        <w:spacing w:line="560" w:lineRule="exact"/>
        <w:jc w:val="center"/>
        <w:textAlignment w:val="auto"/>
        <w:outlineLvl w:val="0"/>
        <w:rPr>
          <w:rFonts w:hint="eastAsia" w:ascii="黑体" w:hAnsi="黑体" w:eastAsia="黑体"/>
          <w:color w:val="000000"/>
          <w:sz w:val="44"/>
          <w:szCs w:val="44"/>
        </w:rPr>
      </w:pPr>
    </w:p>
    <w:p w14:paraId="00767282">
      <w:pPr>
        <w:keepNext w:val="0"/>
        <w:keepLines w:val="0"/>
        <w:pageBreakBefore w:val="0"/>
        <w:widowControl w:val="0"/>
        <w:kinsoku/>
        <w:wordWrap/>
        <w:overflowPunct/>
        <w:topLinePunct w:val="0"/>
        <w:autoSpaceDE/>
        <w:autoSpaceDN/>
        <w:bidi w:val="0"/>
        <w:spacing w:line="560" w:lineRule="exact"/>
        <w:jc w:val="center"/>
        <w:textAlignment w:val="auto"/>
        <w:outlineLvl w:val="0"/>
        <w:rPr>
          <w:rFonts w:hint="eastAsia" w:ascii="黑体" w:hAnsi="黑体" w:eastAsia="黑体"/>
          <w:color w:val="000000"/>
          <w:sz w:val="44"/>
          <w:szCs w:val="44"/>
        </w:rPr>
      </w:pPr>
    </w:p>
    <w:p w14:paraId="76626082">
      <w:pPr>
        <w:keepNext w:val="0"/>
        <w:keepLines w:val="0"/>
        <w:pageBreakBefore w:val="0"/>
        <w:widowControl w:val="0"/>
        <w:kinsoku/>
        <w:wordWrap/>
        <w:overflowPunct/>
        <w:topLinePunct w:val="0"/>
        <w:autoSpaceDE/>
        <w:autoSpaceDN/>
        <w:bidi w:val="0"/>
        <w:spacing w:line="560" w:lineRule="exact"/>
        <w:jc w:val="center"/>
        <w:textAlignment w:val="auto"/>
        <w:outlineLvl w:val="0"/>
        <w:rPr>
          <w:rFonts w:hint="eastAsia" w:ascii="黑体" w:hAnsi="黑体" w:eastAsia="黑体"/>
          <w:color w:val="000000"/>
          <w:sz w:val="44"/>
          <w:szCs w:val="44"/>
        </w:rPr>
      </w:pPr>
    </w:p>
    <w:p w14:paraId="43230FF4">
      <w:pPr>
        <w:keepNext w:val="0"/>
        <w:keepLines w:val="0"/>
        <w:pageBreakBefore w:val="0"/>
        <w:widowControl w:val="0"/>
        <w:numPr>
          <w:ilvl w:val="0"/>
          <w:numId w:val="4"/>
        </w:numPr>
        <w:kinsoku/>
        <w:wordWrap/>
        <w:overflowPunct/>
        <w:topLinePunct w:val="0"/>
        <w:autoSpaceDE/>
        <w:autoSpaceDN/>
        <w:bidi w:val="0"/>
        <w:spacing w:line="560" w:lineRule="exact"/>
        <w:jc w:val="center"/>
        <w:textAlignment w:val="auto"/>
        <w:outlineLvl w:val="0"/>
        <w:rPr>
          <w:rStyle w:val="23"/>
          <w:rFonts w:hint="eastAsia" w:ascii="黑体" w:hAnsi="黑体" w:eastAsia="黑体"/>
          <w:b w:val="0"/>
        </w:rPr>
      </w:pPr>
      <w:r>
        <w:rPr>
          <w:rStyle w:val="23"/>
          <w:rFonts w:hint="eastAsia" w:ascii="黑体" w:hAnsi="黑体" w:eastAsia="黑体"/>
          <w:b w:val="0"/>
        </w:rPr>
        <w:t>附件</w:t>
      </w:r>
      <w:bookmarkEnd w:id="48"/>
    </w:p>
    <w:p w14:paraId="34ECFA6B">
      <w:pPr>
        <w:pStyle w:val="9"/>
        <w:keepNext w:val="0"/>
        <w:keepLines w:val="0"/>
        <w:pageBreakBefore w:val="0"/>
        <w:widowControl w:val="0"/>
        <w:kinsoku/>
        <w:wordWrap/>
        <w:overflowPunct/>
        <w:topLinePunct w:val="0"/>
        <w:autoSpaceDE/>
        <w:autoSpaceDN/>
        <w:bidi w:val="0"/>
        <w:spacing w:line="560" w:lineRule="exact"/>
        <w:textAlignment w:val="auto"/>
        <w:rPr>
          <w:rFonts w:hint="eastAsia"/>
        </w:rPr>
      </w:pPr>
    </w:p>
    <w:p w14:paraId="03A1364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color w:val="auto"/>
          <w:sz w:val="44"/>
          <w:szCs w:val="44"/>
          <w:lang w:val="en-US" w:eastAsia="zh-CN"/>
        </w:rPr>
        <w:t>2024</w:t>
      </w:r>
      <w:r>
        <w:rPr>
          <w:rFonts w:hint="default" w:ascii="Times New Roman" w:hAnsi="Times New Roman" w:eastAsia="方正小标宋简体" w:cs="Times New Roman"/>
          <w:color w:val="auto"/>
          <w:sz w:val="44"/>
          <w:szCs w:val="44"/>
          <w:lang w:val="en-US" w:eastAsia="zh-CN"/>
        </w:rPr>
        <w:t>年</w:t>
      </w:r>
      <w:r>
        <w:rPr>
          <w:rFonts w:hint="eastAsia" w:ascii="Times New Roman" w:hAnsi="Times New Roman" w:eastAsia="方正小标宋简体" w:cs="Times New Roman"/>
          <w:color w:val="auto"/>
          <w:sz w:val="44"/>
          <w:szCs w:val="44"/>
          <w:lang w:val="en-US" w:eastAsia="zh-CN"/>
        </w:rPr>
        <w:t>度中央药品监管补助资金绩效自评情况的报告</w:t>
      </w:r>
    </w:p>
    <w:p w14:paraId="1B9EBF88">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p>
    <w:p w14:paraId="11623ACF">
      <w:pPr>
        <w:pStyle w:val="49"/>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auto"/>
        <w:rPr>
          <w:rFonts w:hint="eastAsia" w:ascii="黑体" w:hAnsi="黑体" w:eastAsia="黑体" w:cs="黑体"/>
          <w:snapToGrid/>
          <w:kern w:val="2"/>
          <w:sz w:val="32"/>
          <w:szCs w:val="32"/>
          <w:lang w:eastAsia="zh-CN"/>
        </w:rPr>
      </w:pPr>
      <w:r>
        <w:rPr>
          <w:rFonts w:hint="eastAsia" w:ascii="黑体" w:hAnsi="黑体" w:eastAsia="黑体" w:cs="黑体"/>
          <w:color w:val="auto"/>
          <w:kern w:val="2"/>
          <w:sz w:val="32"/>
          <w:szCs w:val="32"/>
          <w:lang w:val="en-US" w:eastAsia="zh-CN" w:bidi="ar-SA"/>
        </w:rPr>
        <w:t>一</w:t>
      </w:r>
      <w:r>
        <w:rPr>
          <w:rFonts w:hint="eastAsia" w:ascii="黑体" w:hAnsi="黑体" w:eastAsia="黑体" w:cs="黑体"/>
          <w:snapToGrid/>
          <w:kern w:val="2"/>
          <w:sz w:val="32"/>
          <w:szCs w:val="32"/>
          <w:lang w:eastAsia="zh-CN"/>
        </w:rPr>
        <w:t>、绩效目标分解下达情况</w:t>
      </w:r>
    </w:p>
    <w:p w14:paraId="6979430B">
      <w:pPr>
        <w:pStyle w:val="2"/>
        <w:keepNext w:val="0"/>
        <w:keepLines w:val="0"/>
        <w:pageBreakBefore w:val="0"/>
        <w:widowControl/>
        <w:kinsoku w:val="0"/>
        <w:wordWrap/>
        <w:overflowPunct/>
        <w:topLinePunct w:val="0"/>
        <w:autoSpaceDE w:val="0"/>
        <w:autoSpaceDN w:val="0"/>
        <w:bidi w:val="0"/>
        <w:adjustRightInd w:val="0"/>
        <w:snapToGrid w:val="0"/>
        <w:spacing w:before="0" w:beforeLines="0" w:line="560" w:lineRule="exact"/>
        <w:ind w:right="0" w:firstLine="640"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2024年共下达中央药品监管补助资金267万元，其中“十四五”专项资金56</w:t>
      </w:r>
      <w:r>
        <w:rPr>
          <w:rFonts w:hint="eastAsia" w:ascii="Times New Roman" w:hAnsi="Times New Roman" w:cs="Times New Roman"/>
          <w:color w:val="auto"/>
          <w:kern w:val="2"/>
          <w:sz w:val="32"/>
          <w:szCs w:val="32"/>
          <w:lang w:val="en-US" w:eastAsia="zh-CN" w:bidi="ar-SA"/>
        </w:rPr>
        <w:t>.6</w:t>
      </w:r>
      <w:r>
        <w:rPr>
          <w:rFonts w:hint="eastAsia" w:ascii="Times New Roman" w:hAnsi="Times New Roman" w:eastAsia="仿宋_GB2312" w:cs="Times New Roman"/>
          <w:color w:val="auto"/>
          <w:kern w:val="2"/>
          <w:sz w:val="32"/>
          <w:szCs w:val="32"/>
          <w:lang w:val="en-US" w:eastAsia="zh-CN" w:bidi="ar-SA"/>
        </w:rPr>
        <w:t>万元，国省联合检查115.4万元，不良反应品种安全性评价9万元，医疗器械不良事件监测工作23万元，525爱肤日、626禁毒、器械宣传周等23万元，医疗器械指导原则课题经费22万元，药品注册前置服务经费18万元。</w:t>
      </w:r>
    </w:p>
    <w:p w14:paraId="3F0A71EA">
      <w:pPr>
        <w:pStyle w:val="49"/>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黑体" w:hAnsi="黑体" w:eastAsia="黑体" w:cs="黑体"/>
          <w:color w:val="auto"/>
          <w:kern w:val="2"/>
          <w:sz w:val="32"/>
          <w:szCs w:val="32"/>
          <w:lang w:val="en-US" w:eastAsia="zh-CN" w:bidi="ar-SA"/>
        </w:rPr>
      </w:pPr>
      <w:r>
        <w:rPr>
          <w:rFonts w:hint="default" w:ascii="黑体" w:hAnsi="黑体" w:eastAsia="黑体" w:cs="黑体"/>
          <w:color w:val="auto"/>
          <w:kern w:val="2"/>
          <w:sz w:val="32"/>
          <w:szCs w:val="32"/>
          <w:lang w:val="en-US" w:eastAsia="zh-CN" w:bidi="ar-SA"/>
        </w:rPr>
        <w:t>二、绩效情况分析</w:t>
      </w:r>
    </w:p>
    <w:p w14:paraId="736CF7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(一)资金投入情况分析</w:t>
      </w:r>
    </w:p>
    <w:p w14:paraId="7E1F5F77">
      <w:pPr>
        <w:keepNext w:val="0"/>
        <w:keepLines w:val="0"/>
        <w:pageBreakBefore w:val="0"/>
        <w:widowControl w:val="0"/>
        <w:tabs>
          <w:tab w:val="left" w:pos="3150"/>
        </w:tabs>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1.资金到位情况</w:t>
      </w:r>
    </w:p>
    <w:p w14:paraId="4D0D84E9">
      <w:pPr>
        <w:keepNext w:val="0"/>
        <w:keepLines w:val="0"/>
        <w:pageBreakBefore w:val="0"/>
        <w:kinsoku/>
        <w:wordWrap/>
        <w:overflowPunct/>
        <w:topLinePunct w:val="0"/>
        <w:autoSpaceDE/>
        <w:autoSpaceDN/>
        <w:bidi w:val="0"/>
        <w:adjustRightInd w:val="0"/>
        <w:snapToGrid w:val="0"/>
        <w:spacing w:line="560" w:lineRule="exact"/>
        <w:jc w:val="center"/>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b/>
          <w:bCs/>
          <w:color w:val="auto"/>
          <w:sz w:val="30"/>
          <w:szCs w:val="30"/>
          <w:lang w:eastAsia="zh-CN"/>
        </w:rPr>
        <w:t>资金分配明细表</w:t>
      </w:r>
      <w:r>
        <w:rPr>
          <w:rFonts w:hint="eastAsia" w:ascii="Times New Roman" w:hAnsi="Times New Roman" w:eastAsia="仿宋" w:cs="Times New Roman"/>
          <w:b/>
          <w:bCs/>
          <w:color w:val="auto"/>
          <w:sz w:val="30"/>
          <w:szCs w:val="30"/>
          <w:lang w:val="en-US" w:eastAsia="zh-CN"/>
        </w:rPr>
        <w:t xml:space="preserve"> </w:t>
      </w:r>
      <w:r>
        <w:rPr>
          <w:rFonts w:hint="eastAsia" w:ascii="Times New Roman" w:hAnsi="Times New Roman" w:eastAsia="仿宋" w:cs="Times New Roman"/>
          <w:color w:val="auto"/>
          <w:sz w:val="30"/>
          <w:szCs w:val="30"/>
          <w:lang w:val="en-US" w:eastAsia="zh-CN"/>
        </w:rPr>
        <w:t xml:space="preserve">      </w:t>
      </w:r>
      <w:r>
        <w:rPr>
          <w:rFonts w:hint="default" w:ascii="Times New Roman" w:hAnsi="Times New Roman" w:eastAsia="仿宋" w:cs="Times New Roman"/>
          <w:color w:val="auto"/>
          <w:sz w:val="30"/>
          <w:szCs w:val="30"/>
          <w:lang w:val="en-US" w:eastAsia="zh-CN"/>
        </w:rPr>
        <w:t>单位：万元</w:t>
      </w:r>
    </w:p>
    <w:tbl>
      <w:tblPr>
        <w:tblStyle w:val="17"/>
        <w:tblpPr w:leftFromText="180" w:rightFromText="180" w:vertAnchor="text" w:tblpXSpec="center" w:tblpY="1"/>
        <w:tblOverlap w:val="never"/>
        <w:tblW w:w="7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1980"/>
        <w:gridCol w:w="1605"/>
        <w:gridCol w:w="1566"/>
      </w:tblGrid>
      <w:tr w14:paraId="7400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2232" w:type="dxa"/>
            <w:tcBorders>
              <w:tl2br w:val="nil"/>
              <w:tr2bl w:val="nil"/>
            </w:tcBorders>
            <w:shd w:val="clear" w:color="000000" w:fill="FFFFFF"/>
            <w:noWrap w:val="0"/>
            <w:vAlign w:val="center"/>
          </w:tcPr>
          <w:p w14:paraId="116AF4D5">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Times New Roman" w:hAnsi="Times New Roman" w:eastAsia="宋体" w:cs="Times New Roman"/>
                <w:b/>
                <w:bCs/>
                <w:color w:val="auto"/>
                <w:kern w:val="0"/>
                <w:sz w:val="22"/>
                <w:lang w:eastAsia="zh-CN"/>
              </w:rPr>
            </w:pPr>
            <w:r>
              <w:rPr>
                <w:rFonts w:hint="default" w:ascii="Times New Roman" w:hAnsi="Times New Roman" w:cs="Times New Roman"/>
                <w:b/>
                <w:bCs/>
                <w:color w:val="auto"/>
                <w:kern w:val="0"/>
                <w:sz w:val="22"/>
              </w:rPr>
              <w:t>项目</w:t>
            </w:r>
            <w:r>
              <w:rPr>
                <w:rFonts w:hint="eastAsia" w:ascii="Times New Roman" w:hAnsi="Times New Roman" w:cs="Times New Roman"/>
                <w:b/>
                <w:bCs/>
                <w:color w:val="auto"/>
                <w:kern w:val="0"/>
                <w:sz w:val="22"/>
                <w:lang w:eastAsia="zh-CN"/>
              </w:rPr>
              <w:t>名称</w:t>
            </w:r>
          </w:p>
        </w:tc>
        <w:tc>
          <w:tcPr>
            <w:tcW w:w="1980" w:type="dxa"/>
            <w:tcBorders>
              <w:tl2br w:val="nil"/>
              <w:tr2bl w:val="nil"/>
            </w:tcBorders>
            <w:shd w:val="clear" w:color="000000" w:fill="FFFFFF"/>
            <w:noWrap w:val="0"/>
            <w:vAlign w:val="center"/>
          </w:tcPr>
          <w:p w14:paraId="2529F1CE">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bCs/>
                <w:color w:val="auto"/>
                <w:kern w:val="0"/>
                <w:sz w:val="22"/>
                <w:lang w:val="en-US" w:eastAsia="zh-CN"/>
              </w:rPr>
            </w:pPr>
            <w:r>
              <w:rPr>
                <w:rFonts w:hint="eastAsia" w:ascii="Times New Roman" w:hAnsi="Times New Roman" w:cs="Times New Roman"/>
                <w:b/>
                <w:bCs/>
                <w:color w:val="auto"/>
                <w:kern w:val="0"/>
                <w:sz w:val="22"/>
                <w:lang w:val="en-US" w:eastAsia="zh-CN"/>
              </w:rPr>
              <w:t>经济分类</w:t>
            </w:r>
          </w:p>
        </w:tc>
        <w:tc>
          <w:tcPr>
            <w:tcW w:w="1605" w:type="dxa"/>
            <w:tcBorders>
              <w:tl2br w:val="nil"/>
              <w:tr2bl w:val="nil"/>
            </w:tcBorders>
            <w:shd w:val="clear" w:color="000000" w:fill="FFFFFF"/>
            <w:noWrap w:val="0"/>
            <w:vAlign w:val="center"/>
          </w:tcPr>
          <w:p w14:paraId="0E154DAA">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Times New Roman" w:hAnsi="Times New Roman" w:eastAsia="宋体" w:cs="Times New Roman"/>
                <w:b/>
                <w:bCs/>
                <w:color w:val="auto"/>
                <w:kern w:val="0"/>
                <w:sz w:val="22"/>
                <w:lang w:eastAsia="zh-CN"/>
              </w:rPr>
            </w:pPr>
            <w:r>
              <w:rPr>
                <w:rFonts w:hint="eastAsia" w:ascii="Times New Roman" w:hAnsi="Times New Roman" w:cs="Times New Roman"/>
                <w:b/>
                <w:bCs/>
                <w:color w:val="auto"/>
                <w:kern w:val="0"/>
                <w:sz w:val="22"/>
                <w:lang w:eastAsia="zh-CN"/>
              </w:rPr>
              <w:t>预算金额</w:t>
            </w:r>
          </w:p>
        </w:tc>
        <w:tc>
          <w:tcPr>
            <w:tcW w:w="1566" w:type="dxa"/>
            <w:tcBorders>
              <w:tl2br w:val="nil"/>
              <w:tr2bl w:val="nil"/>
            </w:tcBorders>
            <w:shd w:val="clear" w:color="000000" w:fill="FFFFFF"/>
            <w:noWrap w:val="0"/>
            <w:vAlign w:val="center"/>
          </w:tcPr>
          <w:p w14:paraId="5DCFBBAD">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b/>
                <w:bCs/>
                <w:color w:val="auto"/>
                <w:kern w:val="0"/>
                <w:sz w:val="22"/>
                <w:lang w:val="en-US" w:eastAsia="zh-CN"/>
              </w:rPr>
            </w:pPr>
            <w:r>
              <w:rPr>
                <w:rFonts w:hint="eastAsia" w:ascii="Times New Roman" w:hAnsi="Times New Roman" w:cs="Times New Roman"/>
                <w:b/>
                <w:bCs/>
                <w:color w:val="auto"/>
                <w:kern w:val="0"/>
                <w:sz w:val="22"/>
                <w:lang w:val="en-US" w:eastAsia="zh-CN"/>
              </w:rPr>
              <w:t>下达金额</w:t>
            </w:r>
          </w:p>
        </w:tc>
      </w:tr>
      <w:tr w14:paraId="16EE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32" w:type="dxa"/>
            <w:tcBorders>
              <w:tl2br w:val="nil"/>
              <w:tr2bl w:val="nil"/>
            </w:tcBorders>
            <w:shd w:val="clear" w:color="000000" w:fill="FFFFFF"/>
            <w:noWrap w:val="0"/>
            <w:vAlign w:val="center"/>
          </w:tcPr>
          <w:p w14:paraId="6AEFB9C3">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b/>
                <w:bCs/>
                <w:color w:val="auto"/>
                <w:kern w:val="0"/>
                <w:sz w:val="22"/>
              </w:rPr>
            </w:pPr>
            <w:r>
              <w:rPr>
                <w:rFonts w:hint="default" w:ascii="Times New Roman" w:hAnsi="Times New Roman" w:cs="Times New Roman"/>
                <w:b/>
                <w:bCs/>
                <w:color w:val="auto"/>
                <w:kern w:val="0"/>
                <w:sz w:val="22"/>
              </w:rPr>
              <w:t>合   计</w:t>
            </w:r>
          </w:p>
        </w:tc>
        <w:tc>
          <w:tcPr>
            <w:tcW w:w="1980" w:type="dxa"/>
            <w:tcBorders>
              <w:tl2br w:val="nil"/>
              <w:tr2bl w:val="nil"/>
            </w:tcBorders>
            <w:shd w:val="clear" w:color="000000" w:fill="FFFFFF"/>
            <w:noWrap w:val="0"/>
            <w:vAlign w:val="center"/>
          </w:tcPr>
          <w:p w14:paraId="31BB5087">
            <w:pPr>
              <w:keepNext w:val="0"/>
              <w:keepLines w:val="0"/>
              <w:pageBreakBefore w:val="0"/>
              <w:widowControl/>
              <w:kinsoku/>
              <w:wordWrap/>
              <w:overflowPunct/>
              <w:topLinePunct w:val="0"/>
              <w:autoSpaceDE/>
              <w:autoSpaceDN/>
              <w:bidi w:val="0"/>
              <w:adjustRightInd w:val="0"/>
              <w:snapToGrid w:val="0"/>
              <w:spacing w:line="300" w:lineRule="exact"/>
              <w:ind w:left="0" w:leftChars="0" w:firstLine="413" w:firstLineChars="187"/>
              <w:jc w:val="center"/>
              <w:rPr>
                <w:rFonts w:hint="default" w:ascii="Times New Roman" w:hAnsi="Times New Roman" w:cs="Times New Roman"/>
                <w:b/>
                <w:bCs/>
                <w:color w:val="auto"/>
                <w:kern w:val="0"/>
                <w:sz w:val="22"/>
              </w:rPr>
            </w:pPr>
          </w:p>
        </w:tc>
        <w:tc>
          <w:tcPr>
            <w:tcW w:w="1605" w:type="dxa"/>
            <w:tcBorders>
              <w:tl2br w:val="nil"/>
              <w:tr2bl w:val="nil"/>
            </w:tcBorders>
            <w:shd w:val="clear" w:color="000000" w:fill="FFFFFF"/>
            <w:noWrap w:val="0"/>
            <w:vAlign w:val="center"/>
          </w:tcPr>
          <w:p w14:paraId="60C0528C">
            <w:pPr>
              <w:keepNext w:val="0"/>
              <w:keepLines w:val="0"/>
              <w:pageBreakBefore w:val="0"/>
              <w:widowControl/>
              <w:kinsoku/>
              <w:wordWrap/>
              <w:overflowPunct/>
              <w:topLinePunct w:val="0"/>
              <w:autoSpaceDE/>
              <w:autoSpaceDN/>
              <w:bidi w:val="0"/>
              <w:adjustRightInd w:val="0"/>
              <w:snapToGrid w:val="0"/>
              <w:spacing w:line="300" w:lineRule="exact"/>
              <w:jc w:val="center"/>
              <w:textAlignment w:val="bottom"/>
              <w:rPr>
                <w:rFonts w:hint="default" w:ascii="Times New Roman" w:hAnsi="Times New Roman" w:eastAsia="宋体" w:cs="Times New Roman"/>
                <w:b/>
                <w:bCs/>
                <w:color w:val="auto"/>
                <w:kern w:val="0"/>
                <w:sz w:val="22"/>
                <w:lang w:val="en-US" w:eastAsia="zh-CN"/>
              </w:rPr>
            </w:pPr>
            <w:r>
              <w:rPr>
                <w:rFonts w:hint="eastAsia" w:ascii="Times New Roman" w:hAnsi="Times New Roman" w:eastAsia="宋体" w:cs="Times New Roman"/>
                <w:b/>
                <w:bCs/>
                <w:color w:val="auto"/>
                <w:kern w:val="0"/>
                <w:sz w:val="22"/>
                <w:lang w:val="en-US" w:eastAsia="zh-CN"/>
              </w:rPr>
              <w:t>267</w:t>
            </w:r>
          </w:p>
        </w:tc>
        <w:tc>
          <w:tcPr>
            <w:tcW w:w="1566" w:type="dxa"/>
            <w:tcBorders>
              <w:tl2br w:val="nil"/>
              <w:tr2bl w:val="nil"/>
            </w:tcBorders>
            <w:shd w:val="clear" w:color="000000" w:fill="FFFFFF"/>
            <w:noWrap w:val="0"/>
            <w:vAlign w:val="center"/>
          </w:tcPr>
          <w:p w14:paraId="18230A2C">
            <w:pPr>
              <w:keepNext w:val="0"/>
              <w:keepLines w:val="0"/>
              <w:pageBreakBefore w:val="0"/>
              <w:widowControl/>
              <w:kinsoku/>
              <w:wordWrap/>
              <w:overflowPunct/>
              <w:topLinePunct w:val="0"/>
              <w:autoSpaceDE/>
              <w:autoSpaceDN/>
              <w:bidi w:val="0"/>
              <w:adjustRightInd w:val="0"/>
              <w:snapToGrid w:val="0"/>
              <w:spacing w:line="300" w:lineRule="exact"/>
              <w:jc w:val="center"/>
              <w:textAlignment w:val="bottom"/>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267</w:t>
            </w:r>
          </w:p>
        </w:tc>
      </w:tr>
      <w:tr w14:paraId="7A29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232" w:type="dxa"/>
            <w:vMerge w:val="restart"/>
            <w:tcBorders>
              <w:tl2br w:val="nil"/>
              <w:tr2bl w:val="nil"/>
            </w:tcBorders>
            <w:shd w:val="clear" w:color="000000" w:fill="FFFFFF"/>
            <w:noWrap w:val="0"/>
            <w:vAlign w:val="center"/>
          </w:tcPr>
          <w:p w14:paraId="715D1A82">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rPr>
            </w:pPr>
            <w:r>
              <w:rPr>
                <w:rFonts w:hint="default" w:ascii="Times New Roman" w:hAnsi="Times New Roman" w:eastAsia="仿宋" w:cs="Times New Roman"/>
                <w:color w:val="auto"/>
                <w:kern w:val="0"/>
                <w:sz w:val="24"/>
                <w:szCs w:val="24"/>
                <w:lang w:val="en-US" w:eastAsia="zh-CN"/>
              </w:rPr>
              <w:t>202</w:t>
            </w:r>
            <w:r>
              <w:rPr>
                <w:rFonts w:hint="eastAsia" w:ascii="Times New Roman" w:hAnsi="Times New Roman" w:eastAsia="仿宋" w:cs="Times New Roman"/>
                <w:color w:val="auto"/>
                <w:kern w:val="0"/>
                <w:sz w:val="24"/>
                <w:szCs w:val="24"/>
                <w:lang w:val="en-US" w:eastAsia="zh-CN"/>
              </w:rPr>
              <w:t>4</w:t>
            </w:r>
            <w:r>
              <w:rPr>
                <w:rFonts w:hint="default" w:ascii="Times New Roman" w:hAnsi="Times New Roman" w:eastAsia="仿宋" w:cs="Times New Roman"/>
                <w:color w:val="auto"/>
                <w:kern w:val="0"/>
                <w:sz w:val="24"/>
                <w:szCs w:val="24"/>
                <w:lang w:val="en-US" w:eastAsia="zh-CN"/>
              </w:rPr>
              <w:t>年中央</w:t>
            </w:r>
            <w:r>
              <w:rPr>
                <w:rFonts w:hint="eastAsia" w:ascii="Times New Roman" w:hAnsi="Times New Roman" w:eastAsia="仿宋" w:cs="Times New Roman"/>
                <w:color w:val="auto"/>
                <w:kern w:val="0"/>
                <w:sz w:val="24"/>
                <w:szCs w:val="24"/>
                <w:lang w:val="en-US" w:eastAsia="zh-CN"/>
              </w:rPr>
              <w:t>药品监管补助资金</w:t>
            </w:r>
          </w:p>
        </w:tc>
        <w:tc>
          <w:tcPr>
            <w:tcW w:w="1980" w:type="dxa"/>
            <w:tcBorders>
              <w:tl2br w:val="nil"/>
              <w:tr2bl w:val="nil"/>
            </w:tcBorders>
            <w:shd w:val="clear" w:color="000000" w:fill="FFFFFF"/>
            <w:noWrap w:val="0"/>
            <w:vAlign w:val="center"/>
          </w:tcPr>
          <w:p w14:paraId="19F7A4A8">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eastAsia="zh-CN"/>
              </w:rPr>
            </w:pPr>
            <w:r>
              <w:rPr>
                <w:rFonts w:hint="eastAsia" w:ascii="Times New Roman" w:hAnsi="Times New Roman" w:eastAsia="仿宋" w:cs="Times New Roman"/>
                <w:color w:val="auto"/>
                <w:kern w:val="0"/>
                <w:sz w:val="24"/>
                <w:szCs w:val="24"/>
                <w:lang w:val="en-US" w:eastAsia="zh-CN"/>
              </w:rPr>
              <w:t>劳务费</w:t>
            </w:r>
          </w:p>
        </w:tc>
        <w:tc>
          <w:tcPr>
            <w:tcW w:w="1605" w:type="dxa"/>
            <w:tcBorders>
              <w:tl2br w:val="nil"/>
              <w:tr2bl w:val="nil"/>
            </w:tcBorders>
            <w:shd w:val="clear" w:color="000000" w:fill="FFFFFF"/>
            <w:noWrap w:val="0"/>
            <w:vAlign w:val="center"/>
          </w:tcPr>
          <w:p w14:paraId="06F7780A">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87</w:t>
            </w:r>
          </w:p>
        </w:tc>
        <w:tc>
          <w:tcPr>
            <w:tcW w:w="1566" w:type="dxa"/>
            <w:tcBorders>
              <w:tl2br w:val="nil"/>
              <w:tr2bl w:val="nil"/>
            </w:tcBorders>
            <w:shd w:val="clear" w:color="000000" w:fill="FFFFFF"/>
            <w:noWrap w:val="0"/>
            <w:vAlign w:val="center"/>
          </w:tcPr>
          <w:p w14:paraId="2F46F018">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87</w:t>
            </w:r>
          </w:p>
        </w:tc>
      </w:tr>
      <w:tr w14:paraId="140D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232" w:type="dxa"/>
            <w:vMerge w:val="continue"/>
            <w:tcBorders>
              <w:tl2br w:val="nil"/>
              <w:tr2bl w:val="nil"/>
            </w:tcBorders>
            <w:shd w:val="clear" w:color="000000" w:fill="FFFFFF"/>
            <w:noWrap w:val="0"/>
            <w:vAlign w:val="center"/>
          </w:tcPr>
          <w:p w14:paraId="1E5044A7">
            <w:pPr>
              <w:keepNext w:val="0"/>
              <w:keepLines w:val="0"/>
              <w:pageBreakBefore w:val="0"/>
              <w:widowControl/>
              <w:kinsoku/>
              <w:wordWrap/>
              <w:overflowPunct/>
              <w:topLinePunct w:val="0"/>
              <w:autoSpaceDE/>
              <w:autoSpaceDN/>
              <w:bidi w:val="0"/>
              <w:adjustRightInd w:val="0"/>
              <w:snapToGrid w:val="0"/>
              <w:spacing w:line="300" w:lineRule="exact"/>
              <w:ind w:left="0" w:leftChars="0" w:firstLine="448" w:firstLineChars="187"/>
              <w:jc w:val="center"/>
              <w:rPr>
                <w:rFonts w:hint="default" w:ascii="Times New Roman" w:hAnsi="Times New Roman" w:eastAsia="仿宋" w:cs="Times New Roman"/>
                <w:color w:val="auto"/>
                <w:kern w:val="0"/>
                <w:sz w:val="24"/>
                <w:szCs w:val="24"/>
              </w:rPr>
            </w:pPr>
          </w:p>
        </w:tc>
        <w:tc>
          <w:tcPr>
            <w:tcW w:w="1980" w:type="dxa"/>
            <w:tcBorders>
              <w:tl2br w:val="nil"/>
              <w:tr2bl w:val="nil"/>
            </w:tcBorders>
            <w:shd w:val="clear" w:color="000000" w:fill="FFFFFF"/>
            <w:noWrap w:val="0"/>
            <w:vAlign w:val="center"/>
          </w:tcPr>
          <w:p w14:paraId="158C14ED">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维修（护）费</w:t>
            </w:r>
          </w:p>
        </w:tc>
        <w:tc>
          <w:tcPr>
            <w:tcW w:w="1605" w:type="dxa"/>
            <w:tcBorders>
              <w:tl2br w:val="nil"/>
              <w:tr2bl w:val="nil"/>
            </w:tcBorders>
            <w:shd w:val="clear" w:color="000000" w:fill="FFFFFF"/>
            <w:noWrap w:val="0"/>
            <w:vAlign w:val="center"/>
          </w:tcPr>
          <w:p w14:paraId="57BEE18A">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2.4</w:t>
            </w:r>
          </w:p>
        </w:tc>
        <w:tc>
          <w:tcPr>
            <w:tcW w:w="1566" w:type="dxa"/>
            <w:tcBorders>
              <w:tl2br w:val="nil"/>
              <w:tr2bl w:val="nil"/>
            </w:tcBorders>
            <w:shd w:val="clear" w:color="000000" w:fill="FFFFFF"/>
            <w:noWrap w:val="0"/>
            <w:vAlign w:val="center"/>
          </w:tcPr>
          <w:p w14:paraId="052B3B0F">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2.4</w:t>
            </w:r>
          </w:p>
        </w:tc>
      </w:tr>
      <w:tr w14:paraId="18B1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232" w:type="dxa"/>
            <w:vMerge w:val="continue"/>
            <w:tcBorders>
              <w:tl2br w:val="nil"/>
              <w:tr2bl w:val="nil"/>
            </w:tcBorders>
            <w:shd w:val="clear" w:color="000000" w:fill="FFFFFF"/>
            <w:noWrap w:val="0"/>
            <w:vAlign w:val="center"/>
          </w:tcPr>
          <w:p w14:paraId="2E88C4EE">
            <w:pPr>
              <w:keepNext w:val="0"/>
              <w:keepLines w:val="0"/>
              <w:pageBreakBefore w:val="0"/>
              <w:widowControl/>
              <w:kinsoku/>
              <w:wordWrap/>
              <w:overflowPunct/>
              <w:topLinePunct w:val="0"/>
              <w:autoSpaceDE/>
              <w:autoSpaceDN/>
              <w:bidi w:val="0"/>
              <w:adjustRightInd w:val="0"/>
              <w:snapToGrid w:val="0"/>
              <w:spacing w:line="300" w:lineRule="exact"/>
              <w:ind w:left="0" w:leftChars="0" w:firstLine="448" w:firstLineChars="187"/>
              <w:jc w:val="center"/>
              <w:rPr>
                <w:rFonts w:hint="default" w:ascii="Times New Roman" w:hAnsi="Times New Roman" w:eastAsia="仿宋" w:cs="Times New Roman"/>
                <w:color w:val="auto"/>
                <w:kern w:val="0"/>
                <w:sz w:val="24"/>
                <w:szCs w:val="24"/>
              </w:rPr>
            </w:pPr>
          </w:p>
        </w:tc>
        <w:tc>
          <w:tcPr>
            <w:tcW w:w="1980" w:type="dxa"/>
            <w:tcBorders>
              <w:tl2br w:val="nil"/>
              <w:tr2bl w:val="nil"/>
            </w:tcBorders>
            <w:shd w:val="clear" w:color="000000" w:fill="FFFFFF"/>
            <w:noWrap w:val="0"/>
            <w:vAlign w:val="center"/>
          </w:tcPr>
          <w:p w14:paraId="3FF788E5">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eastAsia="zh-CN"/>
              </w:rPr>
            </w:pPr>
            <w:r>
              <w:rPr>
                <w:rFonts w:hint="eastAsia" w:ascii="Times New Roman" w:hAnsi="Times New Roman" w:eastAsia="仿宋" w:cs="Times New Roman"/>
                <w:color w:val="auto"/>
                <w:kern w:val="0"/>
                <w:sz w:val="24"/>
                <w:szCs w:val="24"/>
                <w:lang w:val="en-US" w:eastAsia="zh-CN"/>
              </w:rPr>
              <w:t>差旅费</w:t>
            </w:r>
          </w:p>
        </w:tc>
        <w:tc>
          <w:tcPr>
            <w:tcW w:w="1605" w:type="dxa"/>
            <w:tcBorders>
              <w:tl2br w:val="nil"/>
              <w:tr2bl w:val="nil"/>
            </w:tcBorders>
            <w:shd w:val="clear" w:color="000000" w:fill="FFFFFF"/>
            <w:noWrap w:val="0"/>
            <w:vAlign w:val="center"/>
          </w:tcPr>
          <w:p w14:paraId="5DD6AFAE">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101</w:t>
            </w:r>
          </w:p>
        </w:tc>
        <w:tc>
          <w:tcPr>
            <w:tcW w:w="1566" w:type="dxa"/>
            <w:tcBorders>
              <w:tl2br w:val="nil"/>
              <w:tr2bl w:val="nil"/>
            </w:tcBorders>
            <w:shd w:val="clear" w:color="000000" w:fill="FFFFFF"/>
            <w:noWrap w:val="0"/>
            <w:vAlign w:val="center"/>
          </w:tcPr>
          <w:p w14:paraId="4F04765D">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101</w:t>
            </w:r>
          </w:p>
        </w:tc>
      </w:tr>
      <w:tr w14:paraId="5DF7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232" w:type="dxa"/>
            <w:vMerge w:val="continue"/>
            <w:tcBorders>
              <w:tl2br w:val="nil"/>
              <w:tr2bl w:val="nil"/>
            </w:tcBorders>
            <w:shd w:val="clear" w:color="000000" w:fill="FFFFFF"/>
            <w:noWrap w:val="0"/>
            <w:vAlign w:val="center"/>
          </w:tcPr>
          <w:p w14:paraId="5DBABC5C">
            <w:pPr>
              <w:keepNext w:val="0"/>
              <w:keepLines w:val="0"/>
              <w:pageBreakBefore w:val="0"/>
              <w:widowControl/>
              <w:kinsoku/>
              <w:wordWrap/>
              <w:overflowPunct/>
              <w:topLinePunct w:val="0"/>
              <w:autoSpaceDE/>
              <w:autoSpaceDN/>
              <w:bidi w:val="0"/>
              <w:adjustRightInd w:val="0"/>
              <w:snapToGrid w:val="0"/>
              <w:spacing w:line="300" w:lineRule="exact"/>
              <w:ind w:left="0" w:leftChars="0" w:firstLine="448" w:firstLineChars="187"/>
              <w:jc w:val="center"/>
              <w:rPr>
                <w:rFonts w:hint="default" w:ascii="Times New Roman" w:hAnsi="Times New Roman" w:eastAsia="仿宋" w:cs="Times New Roman"/>
                <w:color w:val="auto"/>
                <w:kern w:val="0"/>
                <w:sz w:val="24"/>
                <w:szCs w:val="24"/>
              </w:rPr>
            </w:pPr>
          </w:p>
        </w:tc>
        <w:tc>
          <w:tcPr>
            <w:tcW w:w="1980" w:type="dxa"/>
            <w:tcBorders>
              <w:tl2br w:val="nil"/>
              <w:tr2bl w:val="nil"/>
            </w:tcBorders>
            <w:shd w:val="clear" w:color="000000" w:fill="FFFFFF"/>
            <w:noWrap w:val="0"/>
            <w:vAlign w:val="center"/>
          </w:tcPr>
          <w:p w14:paraId="76715491">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委托业务费</w:t>
            </w:r>
          </w:p>
        </w:tc>
        <w:tc>
          <w:tcPr>
            <w:tcW w:w="1605" w:type="dxa"/>
            <w:tcBorders>
              <w:tl2br w:val="nil"/>
              <w:tr2bl w:val="nil"/>
            </w:tcBorders>
            <w:shd w:val="clear" w:color="000000" w:fill="FFFFFF"/>
            <w:noWrap w:val="0"/>
            <w:vAlign w:val="center"/>
          </w:tcPr>
          <w:p w14:paraId="70DA830E">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60.5</w:t>
            </w:r>
          </w:p>
        </w:tc>
        <w:tc>
          <w:tcPr>
            <w:tcW w:w="1566" w:type="dxa"/>
            <w:tcBorders>
              <w:tl2br w:val="nil"/>
              <w:tr2bl w:val="nil"/>
            </w:tcBorders>
            <w:shd w:val="clear" w:color="000000" w:fill="FFFFFF"/>
            <w:noWrap w:val="0"/>
            <w:vAlign w:val="center"/>
          </w:tcPr>
          <w:p w14:paraId="4AAD779C">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60.5</w:t>
            </w:r>
          </w:p>
        </w:tc>
      </w:tr>
      <w:tr w14:paraId="4650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232" w:type="dxa"/>
            <w:vMerge w:val="continue"/>
            <w:tcBorders>
              <w:tl2br w:val="nil"/>
              <w:tr2bl w:val="nil"/>
            </w:tcBorders>
            <w:shd w:val="clear" w:color="000000" w:fill="FFFFFF"/>
            <w:noWrap w:val="0"/>
            <w:vAlign w:val="center"/>
          </w:tcPr>
          <w:p w14:paraId="359D7E35">
            <w:pPr>
              <w:keepNext w:val="0"/>
              <w:keepLines w:val="0"/>
              <w:pageBreakBefore w:val="0"/>
              <w:widowControl/>
              <w:kinsoku/>
              <w:wordWrap/>
              <w:overflowPunct/>
              <w:topLinePunct w:val="0"/>
              <w:autoSpaceDE/>
              <w:autoSpaceDN/>
              <w:bidi w:val="0"/>
              <w:adjustRightInd w:val="0"/>
              <w:snapToGrid w:val="0"/>
              <w:spacing w:line="300" w:lineRule="exact"/>
              <w:ind w:left="0" w:leftChars="0" w:firstLine="448" w:firstLineChars="187"/>
              <w:jc w:val="center"/>
              <w:rPr>
                <w:rFonts w:hint="default" w:ascii="Times New Roman" w:hAnsi="Times New Roman" w:eastAsia="仿宋" w:cs="Times New Roman"/>
                <w:color w:val="auto"/>
                <w:kern w:val="0"/>
                <w:sz w:val="24"/>
                <w:szCs w:val="24"/>
              </w:rPr>
            </w:pPr>
          </w:p>
        </w:tc>
        <w:tc>
          <w:tcPr>
            <w:tcW w:w="1980" w:type="dxa"/>
            <w:tcBorders>
              <w:tl2br w:val="nil"/>
              <w:tr2bl w:val="nil"/>
            </w:tcBorders>
            <w:shd w:val="clear" w:color="000000" w:fill="FFFFFF"/>
            <w:noWrap w:val="0"/>
            <w:vAlign w:val="center"/>
          </w:tcPr>
          <w:p w14:paraId="5FEFDA45">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其他交通费用</w:t>
            </w:r>
          </w:p>
        </w:tc>
        <w:tc>
          <w:tcPr>
            <w:tcW w:w="1605" w:type="dxa"/>
            <w:tcBorders>
              <w:tl2br w:val="nil"/>
              <w:tr2bl w:val="nil"/>
            </w:tcBorders>
            <w:shd w:val="clear" w:color="000000" w:fill="FFFFFF"/>
            <w:noWrap w:val="0"/>
            <w:vAlign w:val="center"/>
          </w:tcPr>
          <w:p w14:paraId="7613D553">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4.2</w:t>
            </w:r>
          </w:p>
        </w:tc>
        <w:tc>
          <w:tcPr>
            <w:tcW w:w="1566" w:type="dxa"/>
            <w:tcBorders>
              <w:tl2br w:val="nil"/>
              <w:tr2bl w:val="nil"/>
            </w:tcBorders>
            <w:shd w:val="clear" w:color="000000" w:fill="FFFFFF"/>
            <w:noWrap w:val="0"/>
            <w:vAlign w:val="center"/>
          </w:tcPr>
          <w:p w14:paraId="4C0579D7">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4.2</w:t>
            </w:r>
          </w:p>
        </w:tc>
      </w:tr>
      <w:tr w14:paraId="3CEB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232" w:type="dxa"/>
            <w:vMerge w:val="continue"/>
            <w:tcBorders>
              <w:tl2br w:val="nil"/>
              <w:tr2bl w:val="nil"/>
            </w:tcBorders>
            <w:shd w:val="clear" w:color="000000" w:fill="FFFFFF"/>
            <w:noWrap w:val="0"/>
            <w:vAlign w:val="center"/>
          </w:tcPr>
          <w:p w14:paraId="381DAEDF">
            <w:pPr>
              <w:keepNext w:val="0"/>
              <w:keepLines w:val="0"/>
              <w:pageBreakBefore w:val="0"/>
              <w:widowControl/>
              <w:kinsoku/>
              <w:wordWrap/>
              <w:overflowPunct/>
              <w:topLinePunct w:val="0"/>
              <w:autoSpaceDE/>
              <w:autoSpaceDN/>
              <w:bidi w:val="0"/>
              <w:adjustRightInd w:val="0"/>
              <w:snapToGrid w:val="0"/>
              <w:spacing w:line="300" w:lineRule="exact"/>
              <w:ind w:left="0" w:leftChars="0" w:firstLine="448" w:firstLineChars="187"/>
              <w:jc w:val="center"/>
              <w:rPr>
                <w:rFonts w:hint="default" w:ascii="Times New Roman" w:hAnsi="Times New Roman" w:eastAsia="仿宋" w:cs="Times New Roman"/>
                <w:color w:val="auto"/>
                <w:kern w:val="0"/>
                <w:sz w:val="24"/>
                <w:szCs w:val="24"/>
              </w:rPr>
            </w:pPr>
          </w:p>
        </w:tc>
        <w:tc>
          <w:tcPr>
            <w:tcW w:w="1980" w:type="dxa"/>
            <w:tcBorders>
              <w:tl2br w:val="nil"/>
              <w:tr2bl w:val="nil"/>
            </w:tcBorders>
            <w:shd w:val="clear" w:color="000000" w:fill="FFFFFF"/>
            <w:noWrap w:val="0"/>
            <w:vAlign w:val="center"/>
          </w:tcPr>
          <w:p w14:paraId="749B3B4A">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会议费</w:t>
            </w:r>
          </w:p>
        </w:tc>
        <w:tc>
          <w:tcPr>
            <w:tcW w:w="1605" w:type="dxa"/>
            <w:tcBorders>
              <w:tl2br w:val="nil"/>
              <w:tr2bl w:val="nil"/>
            </w:tcBorders>
            <w:shd w:val="clear" w:color="000000" w:fill="FFFFFF"/>
            <w:noWrap w:val="0"/>
            <w:vAlign w:val="center"/>
          </w:tcPr>
          <w:p w14:paraId="6822EEDF">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7</w:t>
            </w:r>
          </w:p>
        </w:tc>
        <w:tc>
          <w:tcPr>
            <w:tcW w:w="1566" w:type="dxa"/>
            <w:tcBorders>
              <w:tl2br w:val="nil"/>
              <w:tr2bl w:val="nil"/>
            </w:tcBorders>
            <w:shd w:val="clear" w:color="000000" w:fill="FFFFFF"/>
            <w:noWrap w:val="0"/>
            <w:vAlign w:val="center"/>
          </w:tcPr>
          <w:p w14:paraId="1DB99D16">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7</w:t>
            </w:r>
          </w:p>
        </w:tc>
      </w:tr>
      <w:tr w14:paraId="15D8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232" w:type="dxa"/>
            <w:vMerge w:val="continue"/>
            <w:tcBorders>
              <w:tl2br w:val="nil"/>
              <w:tr2bl w:val="nil"/>
            </w:tcBorders>
            <w:shd w:val="clear" w:color="000000" w:fill="FFFFFF"/>
            <w:noWrap w:val="0"/>
            <w:vAlign w:val="center"/>
          </w:tcPr>
          <w:p w14:paraId="5FEAC0C6">
            <w:pPr>
              <w:keepNext w:val="0"/>
              <w:keepLines w:val="0"/>
              <w:pageBreakBefore w:val="0"/>
              <w:widowControl/>
              <w:kinsoku/>
              <w:wordWrap/>
              <w:overflowPunct/>
              <w:topLinePunct w:val="0"/>
              <w:autoSpaceDE/>
              <w:autoSpaceDN/>
              <w:bidi w:val="0"/>
              <w:adjustRightInd w:val="0"/>
              <w:snapToGrid w:val="0"/>
              <w:spacing w:line="300" w:lineRule="exact"/>
              <w:ind w:left="0" w:leftChars="0" w:firstLine="448" w:firstLineChars="187"/>
              <w:jc w:val="center"/>
              <w:rPr>
                <w:rFonts w:hint="default" w:ascii="Times New Roman" w:hAnsi="Times New Roman" w:eastAsia="仿宋" w:cs="Times New Roman"/>
                <w:color w:val="auto"/>
                <w:kern w:val="0"/>
                <w:sz w:val="24"/>
                <w:szCs w:val="24"/>
              </w:rPr>
            </w:pPr>
          </w:p>
        </w:tc>
        <w:tc>
          <w:tcPr>
            <w:tcW w:w="1980" w:type="dxa"/>
            <w:tcBorders>
              <w:tl2br w:val="nil"/>
              <w:tr2bl w:val="nil"/>
            </w:tcBorders>
            <w:shd w:val="clear" w:color="000000" w:fill="FFFFFF"/>
            <w:noWrap w:val="0"/>
            <w:vAlign w:val="center"/>
          </w:tcPr>
          <w:p w14:paraId="6D7EBBB7">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印刷费</w:t>
            </w:r>
          </w:p>
        </w:tc>
        <w:tc>
          <w:tcPr>
            <w:tcW w:w="1605" w:type="dxa"/>
            <w:tcBorders>
              <w:tl2br w:val="nil"/>
              <w:tr2bl w:val="nil"/>
            </w:tcBorders>
            <w:shd w:val="clear" w:color="000000" w:fill="FFFFFF"/>
            <w:noWrap w:val="0"/>
            <w:vAlign w:val="center"/>
          </w:tcPr>
          <w:p w14:paraId="1D302422">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4.9</w:t>
            </w:r>
          </w:p>
        </w:tc>
        <w:tc>
          <w:tcPr>
            <w:tcW w:w="1566" w:type="dxa"/>
            <w:tcBorders>
              <w:tl2br w:val="nil"/>
              <w:tr2bl w:val="nil"/>
            </w:tcBorders>
            <w:shd w:val="clear" w:color="000000" w:fill="FFFFFF"/>
            <w:noWrap w:val="0"/>
            <w:vAlign w:val="center"/>
          </w:tcPr>
          <w:p w14:paraId="43C9F62B">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4.9</w:t>
            </w:r>
          </w:p>
        </w:tc>
      </w:tr>
    </w:tbl>
    <w:p w14:paraId="00914FD7">
      <w:pPr>
        <w:keepNext w:val="0"/>
        <w:keepLines w:val="0"/>
        <w:pageBreakBefore w:val="0"/>
        <w:widowControl w:val="0"/>
        <w:tabs>
          <w:tab w:val="left" w:pos="3150"/>
        </w:tabs>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2.资金执行情况</w:t>
      </w:r>
    </w:p>
    <w:p w14:paraId="14FF2799">
      <w:pPr>
        <w:keepNext w:val="0"/>
        <w:keepLines w:val="0"/>
        <w:pageBreakBefore w:val="0"/>
        <w:widowControl w:val="0"/>
        <w:tabs>
          <w:tab w:val="left" w:pos="3150"/>
        </w:tabs>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预算执行情况</w:t>
      </w:r>
      <w:r>
        <w:rPr>
          <w:rFonts w:hint="default" w:ascii="Times New Roman" w:hAnsi="Times New Roman" w:eastAsia="仿宋_GB2312" w:cs="Times New Roman"/>
          <w:color w:val="auto"/>
          <w:sz w:val="32"/>
          <w:szCs w:val="32"/>
          <w:lang w:val="en-US" w:eastAsia="zh-CN"/>
        </w:rPr>
        <w:t>：该项目预算资金</w:t>
      </w:r>
      <w:r>
        <w:rPr>
          <w:rFonts w:hint="eastAsia" w:ascii="Times New Roman" w:hAnsi="Times New Roman" w:eastAsia="仿宋_GB2312" w:cs="Times New Roman"/>
          <w:color w:val="auto"/>
          <w:sz w:val="32"/>
          <w:szCs w:val="32"/>
          <w:lang w:val="en-US" w:eastAsia="zh-CN"/>
        </w:rPr>
        <w:t>267</w:t>
      </w:r>
      <w:r>
        <w:rPr>
          <w:rFonts w:hint="default" w:ascii="Times New Roman" w:hAnsi="Times New Roman" w:eastAsia="仿宋_GB2312" w:cs="Times New Roman"/>
          <w:color w:val="auto"/>
          <w:sz w:val="32"/>
          <w:szCs w:val="32"/>
          <w:lang w:val="en-US" w:eastAsia="zh-CN"/>
        </w:rPr>
        <w:t>万元，</w:t>
      </w:r>
      <w:r>
        <w:rPr>
          <w:rFonts w:hint="eastAsia" w:ascii="Times New Roman" w:hAnsi="Times New Roman" w:eastAsia="仿宋_GB2312" w:cs="Times New Roman"/>
          <w:color w:val="auto"/>
          <w:sz w:val="32"/>
          <w:szCs w:val="32"/>
          <w:lang w:val="en-US" w:eastAsia="zh-CN"/>
        </w:rPr>
        <w:t>2024</w:t>
      </w:r>
      <w:r>
        <w:rPr>
          <w:rFonts w:hint="default" w:ascii="Times New Roman" w:hAnsi="Times New Roman" w:eastAsia="仿宋_GB2312" w:cs="Times New Roman"/>
          <w:color w:val="auto"/>
          <w:sz w:val="32"/>
          <w:szCs w:val="32"/>
          <w:lang w:val="en-US" w:eastAsia="zh-CN"/>
        </w:rPr>
        <w:t>全年项目合计支出</w:t>
      </w:r>
      <w:r>
        <w:rPr>
          <w:rFonts w:hint="eastAsia" w:ascii="Times New Roman" w:hAnsi="Times New Roman" w:eastAsia="仿宋_GB2312" w:cs="Times New Roman"/>
          <w:color w:val="auto"/>
          <w:sz w:val="32"/>
          <w:szCs w:val="32"/>
          <w:lang w:val="en-US" w:eastAsia="zh-CN"/>
        </w:rPr>
        <w:t>262.56</w:t>
      </w:r>
      <w:r>
        <w:rPr>
          <w:rFonts w:hint="default" w:ascii="Times New Roman" w:hAnsi="Times New Roman" w:eastAsia="仿宋_GB2312" w:cs="Times New Roman"/>
          <w:color w:val="auto"/>
          <w:sz w:val="32"/>
          <w:szCs w:val="32"/>
          <w:lang w:val="en-US" w:eastAsia="zh-CN"/>
        </w:rPr>
        <w:t>万元，</w:t>
      </w:r>
      <w:r>
        <w:rPr>
          <w:rFonts w:hint="eastAsia" w:ascii="Times New Roman" w:hAnsi="Times New Roman" w:eastAsia="仿宋_GB2312" w:cs="Times New Roman"/>
          <w:color w:val="auto"/>
          <w:sz w:val="32"/>
          <w:szCs w:val="32"/>
          <w:lang w:val="en-US" w:eastAsia="zh-CN"/>
        </w:rPr>
        <w:t>预算执行率为98.34%，</w:t>
      </w:r>
      <w:r>
        <w:rPr>
          <w:rFonts w:hint="default" w:ascii="Times New Roman" w:hAnsi="Times New Roman" w:eastAsia="仿宋_GB2312" w:cs="Times New Roman"/>
          <w:color w:val="auto"/>
          <w:sz w:val="32"/>
          <w:szCs w:val="32"/>
          <w:lang w:val="en-US" w:eastAsia="zh-CN"/>
        </w:rPr>
        <w:t>年终核销</w:t>
      </w:r>
      <w:r>
        <w:rPr>
          <w:rFonts w:hint="eastAsia" w:ascii="Times New Roman" w:hAnsi="Times New Roman" w:eastAsia="仿宋_GB2312" w:cs="Times New Roman"/>
          <w:color w:val="auto"/>
          <w:sz w:val="32"/>
          <w:szCs w:val="32"/>
          <w:lang w:val="en-US" w:eastAsia="zh-CN"/>
        </w:rPr>
        <w:t>4.44</w:t>
      </w:r>
      <w:r>
        <w:rPr>
          <w:rFonts w:hint="default" w:ascii="Times New Roman" w:hAnsi="Times New Roman" w:eastAsia="仿宋_GB2312" w:cs="Times New Roman"/>
          <w:color w:val="auto"/>
          <w:sz w:val="32"/>
          <w:szCs w:val="32"/>
          <w:lang w:val="en-US" w:eastAsia="zh-CN"/>
        </w:rPr>
        <w:t>万元。</w:t>
      </w:r>
    </w:p>
    <w:p w14:paraId="00469F26">
      <w:pPr>
        <w:pStyle w:val="2"/>
        <w:numPr>
          <w:ilvl w:val="0"/>
          <w:numId w:val="0"/>
        </w:numPr>
        <w:jc w:val="center"/>
        <w:rPr>
          <w:rFonts w:hint="eastAsia"/>
          <w:lang w:val="en-US" w:eastAsia="zh-CN"/>
        </w:rPr>
      </w:pPr>
      <w:r>
        <w:rPr>
          <w:rFonts w:hint="default" w:ascii="Times New Roman" w:hAnsi="Times New Roman" w:eastAsia="仿宋" w:cs="Times New Roman"/>
          <w:b/>
          <w:bCs/>
          <w:color w:val="auto"/>
          <w:sz w:val="30"/>
          <w:szCs w:val="30"/>
          <w:lang w:eastAsia="zh-CN"/>
        </w:rPr>
        <w:t>资金</w:t>
      </w:r>
      <w:r>
        <w:rPr>
          <w:rFonts w:hint="eastAsia" w:ascii="Times New Roman" w:hAnsi="Times New Roman" w:cs="Times New Roman"/>
          <w:b/>
          <w:bCs/>
          <w:color w:val="auto"/>
          <w:sz w:val="30"/>
          <w:szCs w:val="30"/>
          <w:lang w:val="en-US" w:eastAsia="zh-CN"/>
        </w:rPr>
        <w:t>执行</w:t>
      </w:r>
      <w:r>
        <w:rPr>
          <w:rFonts w:hint="default" w:ascii="Times New Roman" w:hAnsi="Times New Roman" w:eastAsia="仿宋" w:cs="Times New Roman"/>
          <w:b/>
          <w:bCs/>
          <w:color w:val="auto"/>
          <w:sz w:val="30"/>
          <w:szCs w:val="30"/>
          <w:lang w:eastAsia="zh-CN"/>
        </w:rPr>
        <w:t>明细表</w:t>
      </w:r>
      <w:r>
        <w:rPr>
          <w:rFonts w:hint="eastAsia" w:ascii="Times New Roman" w:hAnsi="Times New Roman" w:eastAsia="仿宋" w:cs="Times New Roman"/>
          <w:b/>
          <w:bCs/>
          <w:color w:val="auto"/>
          <w:sz w:val="30"/>
          <w:szCs w:val="30"/>
          <w:lang w:val="en-US" w:eastAsia="zh-CN"/>
        </w:rPr>
        <w:t xml:space="preserve"> </w:t>
      </w:r>
      <w:r>
        <w:rPr>
          <w:rFonts w:hint="eastAsia" w:ascii="Times New Roman" w:hAnsi="Times New Roman" w:eastAsia="仿宋" w:cs="Times New Roman"/>
          <w:color w:val="auto"/>
          <w:sz w:val="30"/>
          <w:szCs w:val="30"/>
          <w:lang w:val="en-US" w:eastAsia="zh-CN"/>
        </w:rPr>
        <w:t xml:space="preserve">      </w:t>
      </w:r>
      <w:r>
        <w:rPr>
          <w:rFonts w:hint="default" w:ascii="Times New Roman" w:hAnsi="Times New Roman" w:eastAsia="仿宋" w:cs="Times New Roman"/>
          <w:color w:val="auto"/>
          <w:sz w:val="30"/>
          <w:szCs w:val="30"/>
          <w:lang w:val="en-US" w:eastAsia="zh-CN"/>
        </w:rPr>
        <w:t>单位：万元</w:t>
      </w:r>
    </w:p>
    <w:tbl>
      <w:tblPr>
        <w:tblStyle w:val="17"/>
        <w:tblpPr w:leftFromText="180" w:rightFromText="180" w:vertAnchor="text" w:tblpXSpec="center" w:tblpY="1"/>
        <w:tblOverlap w:val="never"/>
        <w:tblW w:w="7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1980"/>
        <w:gridCol w:w="1605"/>
        <w:gridCol w:w="1566"/>
      </w:tblGrid>
      <w:tr w14:paraId="4089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2232" w:type="dxa"/>
            <w:tcBorders>
              <w:tl2br w:val="nil"/>
              <w:tr2bl w:val="nil"/>
            </w:tcBorders>
            <w:shd w:val="clear" w:color="000000" w:fill="FFFFFF"/>
            <w:noWrap w:val="0"/>
            <w:vAlign w:val="center"/>
          </w:tcPr>
          <w:p w14:paraId="399A360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Times New Roman" w:hAnsi="Times New Roman" w:eastAsia="宋体" w:cs="Times New Roman"/>
                <w:b/>
                <w:bCs/>
                <w:color w:val="auto"/>
                <w:kern w:val="0"/>
                <w:sz w:val="22"/>
                <w:lang w:eastAsia="zh-CN"/>
              </w:rPr>
            </w:pPr>
            <w:r>
              <w:rPr>
                <w:rFonts w:hint="default" w:ascii="Times New Roman" w:hAnsi="Times New Roman" w:cs="Times New Roman"/>
                <w:b/>
                <w:bCs/>
                <w:color w:val="auto"/>
                <w:kern w:val="0"/>
                <w:sz w:val="22"/>
              </w:rPr>
              <w:t>项目</w:t>
            </w:r>
            <w:r>
              <w:rPr>
                <w:rFonts w:hint="eastAsia" w:ascii="Times New Roman" w:hAnsi="Times New Roman" w:cs="Times New Roman"/>
                <w:b/>
                <w:bCs/>
                <w:color w:val="auto"/>
                <w:kern w:val="0"/>
                <w:sz w:val="22"/>
                <w:lang w:eastAsia="zh-CN"/>
              </w:rPr>
              <w:t>名称</w:t>
            </w:r>
          </w:p>
        </w:tc>
        <w:tc>
          <w:tcPr>
            <w:tcW w:w="1980" w:type="dxa"/>
            <w:tcBorders>
              <w:tl2br w:val="nil"/>
              <w:tr2bl w:val="nil"/>
            </w:tcBorders>
            <w:shd w:val="clear" w:color="000000" w:fill="FFFFFF"/>
            <w:noWrap w:val="0"/>
            <w:vAlign w:val="center"/>
          </w:tcPr>
          <w:p w14:paraId="49DC3250">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bCs/>
                <w:color w:val="auto"/>
                <w:kern w:val="0"/>
                <w:sz w:val="22"/>
                <w:lang w:val="en-US" w:eastAsia="zh-CN"/>
              </w:rPr>
            </w:pPr>
            <w:r>
              <w:rPr>
                <w:rFonts w:hint="eastAsia" w:ascii="Times New Roman" w:hAnsi="Times New Roman" w:cs="Times New Roman"/>
                <w:b/>
                <w:bCs/>
                <w:color w:val="auto"/>
                <w:kern w:val="0"/>
                <w:sz w:val="22"/>
                <w:lang w:val="en-US" w:eastAsia="zh-CN"/>
              </w:rPr>
              <w:t>经济分类</w:t>
            </w:r>
          </w:p>
        </w:tc>
        <w:tc>
          <w:tcPr>
            <w:tcW w:w="1605" w:type="dxa"/>
            <w:tcBorders>
              <w:tl2br w:val="nil"/>
              <w:tr2bl w:val="nil"/>
            </w:tcBorders>
            <w:shd w:val="clear" w:color="000000" w:fill="FFFFFF"/>
            <w:noWrap w:val="0"/>
            <w:vAlign w:val="center"/>
          </w:tcPr>
          <w:p w14:paraId="78D04040">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Times New Roman" w:hAnsi="Times New Roman" w:eastAsia="宋体" w:cs="Times New Roman"/>
                <w:b/>
                <w:bCs/>
                <w:color w:val="auto"/>
                <w:kern w:val="0"/>
                <w:sz w:val="22"/>
                <w:lang w:eastAsia="zh-CN"/>
              </w:rPr>
            </w:pPr>
            <w:r>
              <w:rPr>
                <w:rFonts w:hint="eastAsia" w:ascii="Times New Roman" w:hAnsi="Times New Roman" w:cs="Times New Roman"/>
                <w:b/>
                <w:bCs/>
                <w:color w:val="auto"/>
                <w:kern w:val="0"/>
                <w:sz w:val="22"/>
                <w:lang w:eastAsia="zh-CN"/>
              </w:rPr>
              <w:t>预算金额</w:t>
            </w:r>
          </w:p>
        </w:tc>
        <w:tc>
          <w:tcPr>
            <w:tcW w:w="1566" w:type="dxa"/>
            <w:tcBorders>
              <w:tl2br w:val="nil"/>
              <w:tr2bl w:val="nil"/>
            </w:tcBorders>
            <w:shd w:val="clear" w:color="000000" w:fill="FFFFFF"/>
            <w:noWrap w:val="0"/>
            <w:vAlign w:val="center"/>
          </w:tcPr>
          <w:p w14:paraId="216FEE0A">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b/>
                <w:bCs/>
                <w:color w:val="auto"/>
                <w:kern w:val="0"/>
                <w:sz w:val="22"/>
                <w:lang w:val="en-US" w:eastAsia="zh-CN"/>
              </w:rPr>
            </w:pPr>
            <w:r>
              <w:rPr>
                <w:rFonts w:hint="eastAsia" w:ascii="Times New Roman" w:hAnsi="Times New Roman" w:cs="Times New Roman"/>
                <w:b/>
                <w:bCs/>
                <w:color w:val="auto"/>
                <w:kern w:val="0"/>
                <w:sz w:val="22"/>
                <w:lang w:val="en-US" w:eastAsia="zh-CN"/>
              </w:rPr>
              <w:t>执行金额</w:t>
            </w:r>
          </w:p>
        </w:tc>
      </w:tr>
      <w:tr w14:paraId="3AD4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32" w:type="dxa"/>
            <w:tcBorders>
              <w:tl2br w:val="nil"/>
              <w:tr2bl w:val="nil"/>
            </w:tcBorders>
            <w:shd w:val="clear" w:color="000000" w:fill="FFFFFF"/>
            <w:noWrap w:val="0"/>
            <w:vAlign w:val="center"/>
          </w:tcPr>
          <w:p w14:paraId="16BCB65B">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b/>
                <w:bCs/>
                <w:color w:val="auto"/>
                <w:kern w:val="0"/>
                <w:sz w:val="22"/>
              </w:rPr>
            </w:pPr>
            <w:r>
              <w:rPr>
                <w:rFonts w:hint="default" w:ascii="Times New Roman" w:hAnsi="Times New Roman" w:cs="Times New Roman"/>
                <w:b/>
                <w:bCs/>
                <w:color w:val="auto"/>
                <w:kern w:val="0"/>
                <w:sz w:val="22"/>
              </w:rPr>
              <w:t>合   计</w:t>
            </w:r>
          </w:p>
        </w:tc>
        <w:tc>
          <w:tcPr>
            <w:tcW w:w="1980" w:type="dxa"/>
            <w:tcBorders>
              <w:tl2br w:val="nil"/>
              <w:tr2bl w:val="nil"/>
            </w:tcBorders>
            <w:shd w:val="clear" w:color="000000" w:fill="FFFFFF"/>
            <w:noWrap w:val="0"/>
            <w:vAlign w:val="center"/>
          </w:tcPr>
          <w:p w14:paraId="00D4AA9E">
            <w:pPr>
              <w:keepNext w:val="0"/>
              <w:keepLines w:val="0"/>
              <w:pageBreakBefore w:val="0"/>
              <w:widowControl/>
              <w:kinsoku/>
              <w:wordWrap/>
              <w:overflowPunct/>
              <w:topLinePunct w:val="0"/>
              <w:autoSpaceDE/>
              <w:autoSpaceDN/>
              <w:bidi w:val="0"/>
              <w:adjustRightInd w:val="0"/>
              <w:snapToGrid w:val="0"/>
              <w:spacing w:line="300" w:lineRule="exact"/>
              <w:ind w:left="0" w:leftChars="0" w:firstLine="413" w:firstLineChars="187"/>
              <w:jc w:val="center"/>
              <w:rPr>
                <w:rFonts w:hint="default" w:ascii="Times New Roman" w:hAnsi="Times New Roman" w:cs="Times New Roman"/>
                <w:b/>
                <w:bCs/>
                <w:color w:val="auto"/>
                <w:kern w:val="0"/>
                <w:sz w:val="22"/>
              </w:rPr>
            </w:pPr>
          </w:p>
        </w:tc>
        <w:tc>
          <w:tcPr>
            <w:tcW w:w="1605" w:type="dxa"/>
            <w:tcBorders>
              <w:tl2br w:val="nil"/>
              <w:tr2bl w:val="nil"/>
            </w:tcBorders>
            <w:shd w:val="clear" w:color="000000" w:fill="FFFFFF"/>
            <w:noWrap w:val="0"/>
            <w:vAlign w:val="center"/>
          </w:tcPr>
          <w:p w14:paraId="434BE4D2">
            <w:pPr>
              <w:keepNext w:val="0"/>
              <w:keepLines w:val="0"/>
              <w:pageBreakBefore w:val="0"/>
              <w:widowControl/>
              <w:kinsoku/>
              <w:wordWrap/>
              <w:overflowPunct/>
              <w:topLinePunct w:val="0"/>
              <w:autoSpaceDE/>
              <w:autoSpaceDN/>
              <w:bidi w:val="0"/>
              <w:adjustRightInd w:val="0"/>
              <w:snapToGrid w:val="0"/>
              <w:spacing w:line="300" w:lineRule="exact"/>
              <w:jc w:val="center"/>
              <w:textAlignment w:val="bottom"/>
              <w:rPr>
                <w:rFonts w:hint="default" w:ascii="Times New Roman" w:hAnsi="Times New Roman" w:eastAsia="宋体" w:cs="Times New Roman"/>
                <w:b/>
                <w:bCs/>
                <w:color w:val="auto"/>
                <w:kern w:val="0"/>
                <w:sz w:val="22"/>
                <w:lang w:val="en-US" w:eastAsia="zh-CN"/>
              </w:rPr>
            </w:pPr>
            <w:r>
              <w:rPr>
                <w:rFonts w:hint="eastAsia" w:ascii="Times New Roman" w:hAnsi="Times New Roman" w:eastAsia="宋体" w:cs="Times New Roman"/>
                <w:b/>
                <w:bCs/>
                <w:color w:val="auto"/>
                <w:kern w:val="0"/>
                <w:sz w:val="22"/>
                <w:lang w:val="en-US" w:eastAsia="zh-CN"/>
              </w:rPr>
              <w:t>267</w:t>
            </w:r>
          </w:p>
        </w:tc>
        <w:tc>
          <w:tcPr>
            <w:tcW w:w="1566" w:type="dxa"/>
            <w:tcBorders>
              <w:tl2br w:val="nil"/>
              <w:tr2bl w:val="nil"/>
            </w:tcBorders>
            <w:shd w:val="clear" w:color="000000" w:fill="FFFFFF"/>
            <w:noWrap w:val="0"/>
            <w:vAlign w:val="center"/>
          </w:tcPr>
          <w:p w14:paraId="7978ED8C">
            <w:pPr>
              <w:keepNext w:val="0"/>
              <w:keepLines w:val="0"/>
              <w:pageBreakBefore w:val="0"/>
              <w:widowControl/>
              <w:kinsoku/>
              <w:wordWrap/>
              <w:overflowPunct/>
              <w:topLinePunct w:val="0"/>
              <w:autoSpaceDE/>
              <w:autoSpaceDN/>
              <w:bidi w:val="0"/>
              <w:adjustRightInd w:val="0"/>
              <w:snapToGrid w:val="0"/>
              <w:spacing w:line="300" w:lineRule="exact"/>
              <w:jc w:val="center"/>
              <w:textAlignment w:val="bottom"/>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262.56</w:t>
            </w:r>
          </w:p>
        </w:tc>
      </w:tr>
      <w:tr w14:paraId="1317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232" w:type="dxa"/>
            <w:vMerge w:val="restart"/>
            <w:tcBorders>
              <w:tl2br w:val="nil"/>
              <w:tr2bl w:val="nil"/>
            </w:tcBorders>
            <w:shd w:val="clear" w:color="000000" w:fill="FFFFFF"/>
            <w:noWrap w:val="0"/>
            <w:vAlign w:val="center"/>
          </w:tcPr>
          <w:p w14:paraId="1EA297A4">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rPr>
            </w:pPr>
            <w:r>
              <w:rPr>
                <w:rFonts w:hint="default" w:ascii="Times New Roman" w:hAnsi="Times New Roman" w:eastAsia="仿宋" w:cs="Times New Roman"/>
                <w:color w:val="auto"/>
                <w:kern w:val="0"/>
                <w:sz w:val="24"/>
                <w:szCs w:val="24"/>
                <w:lang w:val="en-US" w:eastAsia="zh-CN"/>
              </w:rPr>
              <w:t>202</w:t>
            </w:r>
            <w:r>
              <w:rPr>
                <w:rFonts w:hint="eastAsia" w:ascii="Times New Roman" w:hAnsi="Times New Roman" w:eastAsia="仿宋" w:cs="Times New Roman"/>
                <w:color w:val="auto"/>
                <w:kern w:val="0"/>
                <w:sz w:val="24"/>
                <w:szCs w:val="24"/>
                <w:lang w:val="en-US" w:eastAsia="zh-CN"/>
              </w:rPr>
              <w:t>4</w:t>
            </w:r>
            <w:r>
              <w:rPr>
                <w:rFonts w:hint="default" w:ascii="Times New Roman" w:hAnsi="Times New Roman" w:eastAsia="仿宋" w:cs="Times New Roman"/>
                <w:color w:val="auto"/>
                <w:kern w:val="0"/>
                <w:sz w:val="24"/>
                <w:szCs w:val="24"/>
                <w:lang w:val="en-US" w:eastAsia="zh-CN"/>
              </w:rPr>
              <w:t>年中央</w:t>
            </w:r>
            <w:r>
              <w:rPr>
                <w:rFonts w:hint="eastAsia" w:ascii="Times New Roman" w:hAnsi="Times New Roman" w:eastAsia="仿宋" w:cs="Times New Roman"/>
                <w:color w:val="auto"/>
                <w:kern w:val="0"/>
                <w:sz w:val="24"/>
                <w:szCs w:val="24"/>
                <w:lang w:val="en-US" w:eastAsia="zh-CN"/>
              </w:rPr>
              <w:t>药品监管补助资金</w:t>
            </w:r>
          </w:p>
        </w:tc>
        <w:tc>
          <w:tcPr>
            <w:tcW w:w="1980" w:type="dxa"/>
            <w:tcBorders>
              <w:tl2br w:val="nil"/>
              <w:tr2bl w:val="nil"/>
            </w:tcBorders>
            <w:shd w:val="clear" w:color="000000" w:fill="FFFFFF"/>
            <w:noWrap w:val="0"/>
            <w:vAlign w:val="center"/>
          </w:tcPr>
          <w:p w14:paraId="4D0F28CB">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eastAsia="zh-CN"/>
              </w:rPr>
            </w:pPr>
            <w:r>
              <w:rPr>
                <w:rFonts w:hint="eastAsia" w:ascii="Times New Roman" w:hAnsi="Times New Roman" w:eastAsia="仿宋" w:cs="Times New Roman"/>
                <w:color w:val="auto"/>
                <w:kern w:val="0"/>
                <w:sz w:val="24"/>
                <w:szCs w:val="24"/>
                <w:lang w:val="en-US" w:eastAsia="zh-CN"/>
              </w:rPr>
              <w:t>劳务费</w:t>
            </w:r>
          </w:p>
        </w:tc>
        <w:tc>
          <w:tcPr>
            <w:tcW w:w="1605" w:type="dxa"/>
            <w:tcBorders>
              <w:tl2br w:val="nil"/>
              <w:tr2bl w:val="nil"/>
            </w:tcBorders>
            <w:shd w:val="clear" w:color="000000" w:fill="FFFFFF"/>
            <w:noWrap w:val="0"/>
            <w:vAlign w:val="center"/>
          </w:tcPr>
          <w:p w14:paraId="119AC885">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87</w:t>
            </w:r>
          </w:p>
        </w:tc>
        <w:tc>
          <w:tcPr>
            <w:tcW w:w="1566" w:type="dxa"/>
            <w:tcBorders>
              <w:tl2br w:val="nil"/>
              <w:tr2bl w:val="nil"/>
            </w:tcBorders>
            <w:shd w:val="clear" w:color="000000" w:fill="FFFFFF"/>
            <w:noWrap w:val="0"/>
            <w:vAlign w:val="center"/>
          </w:tcPr>
          <w:p w14:paraId="0A12FAF3">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87</w:t>
            </w:r>
          </w:p>
        </w:tc>
      </w:tr>
      <w:tr w14:paraId="43E7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232" w:type="dxa"/>
            <w:vMerge w:val="continue"/>
            <w:tcBorders>
              <w:tl2br w:val="nil"/>
              <w:tr2bl w:val="nil"/>
            </w:tcBorders>
            <w:shd w:val="clear" w:color="000000" w:fill="FFFFFF"/>
            <w:noWrap w:val="0"/>
            <w:vAlign w:val="center"/>
          </w:tcPr>
          <w:p w14:paraId="33FC575C">
            <w:pPr>
              <w:keepNext w:val="0"/>
              <w:keepLines w:val="0"/>
              <w:pageBreakBefore w:val="0"/>
              <w:widowControl/>
              <w:kinsoku/>
              <w:wordWrap/>
              <w:overflowPunct/>
              <w:topLinePunct w:val="0"/>
              <w:autoSpaceDE/>
              <w:autoSpaceDN/>
              <w:bidi w:val="0"/>
              <w:adjustRightInd w:val="0"/>
              <w:snapToGrid w:val="0"/>
              <w:spacing w:line="300" w:lineRule="exact"/>
              <w:ind w:left="0" w:leftChars="0" w:firstLine="448" w:firstLineChars="187"/>
              <w:jc w:val="center"/>
              <w:rPr>
                <w:rFonts w:hint="default" w:ascii="Times New Roman" w:hAnsi="Times New Roman" w:eastAsia="仿宋" w:cs="Times New Roman"/>
                <w:color w:val="auto"/>
                <w:kern w:val="0"/>
                <w:sz w:val="24"/>
                <w:szCs w:val="24"/>
              </w:rPr>
            </w:pPr>
          </w:p>
        </w:tc>
        <w:tc>
          <w:tcPr>
            <w:tcW w:w="1980" w:type="dxa"/>
            <w:tcBorders>
              <w:tl2br w:val="nil"/>
              <w:tr2bl w:val="nil"/>
            </w:tcBorders>
            <w:shd w:val="clear" w:color="000000" w:fill="FFFFFF"/>
            <w:noWrap w:val="0"/>
            <w:vAlign w:val="center"/>
          </w:tcPr>
          <w:p w14:paraId="73600BE8">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维修（护）费</w:t>
            </w:r>
          </w:p>
        </w:tc>
        <w:tc>
          <w:tcPr>
            <w:tcW w:w="1605" w:type="dxa"/>
            <w:tcBorders>
              <w:tl2br w:val="nil"/>
              <w:tr2bl w:val="nil"/>
            </w:tcBorders>
            <w:shd w:val="clear" w:color="000000" w:fill="FFFFFF"/>
            <w:noWrap w:val="0"/>
            <w:vAlign w:val="center"/>
          </w:tcPr>
          <w:p w14:paraId="3D5095A7">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2.4</w:t>
            </w:r>
          </w:p>
        </w:tc>
        <w:tc>
          <w:tcPr>
            <w:tcW w:w="1566" w:type="dxa"/>
            <w:tcBorders>
              <w:tl2br w:val="nil"/>
              <w:tr2bl w:val="nil"/>
            </w:tcBorders>
            <w:shd w:val="clear" w:color="000000" w:fill="FFFFFF"/>
            <w:noWrap w:val="0"/>
            <w:vAlign w:val="center"/>
          </w:tcPr>
          <w:p w14:paraId="1294FF01">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2.4</w:t>
            </w:r>
          </w:p>
        </w:tc>
      </w:tr>
      <w:tr w14:paraId="1C0D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232" w:type="dxa"/>
            <w:vMerge w:val="continue"/>
            <w:tcBorders>
              <w:tl2br w:val="nil"/>
              <w:tr2bl w:val="nil"/>
            </w:tcBorders>
            <w:shd w:val="clear" w:color="000000" w:fill="FFFFFF"/>
            <w:noWrap w:val="0"/>
            <w:vAlign w:val="center"/>
          </w:tcPr>
          <w:p w14:paraId="385E7FC1">
            <w:pPr>
              <w:keepNext w:val="0"/>
              <w:keepLines w:val="0"/>
              <w:pageBreakBefore w:val="0"/>
              <w:widowControl/>
              <w:kinsoku/>
              <w:wordWrap/>
              <w:overflowPunct/>
              <w:topLinePunct w:val="0"/>
              <w:autoSpaceDE/>
              <w:autoSpaceDN/>
              <w:bidi w:val="0"/>
              <w:adjustRightInd w:val="0"/>
              <w:snapToGrid w:val="0"/>
              <w:spacing w:line="300" w:lineRule="exact"/>
              <w:ind w:left="0" w:leftChars="0" w:firstLine="448" w:firstLineChars="187"/>
              <w:jc w:val="center"/>
              <w:rPr>
                <w:rFonts w:hint="default" w:ascii="Times New Roman" w:hAnsi="Times New Roman" w:eastAsia="仿宋" w:cs="Times New Roman"/>
                <w:color w:val="auto"/>
                <w:kern w:val="0"/>
                <w:sz w:val="24"/>
                <w:szCs w:val="24"/>
              </w:rPr>
            </w:pPr>
          </w:p>
        </w:tc>
        <w:tc>
          <w:tcPr>
            <w:tcW w:w="1980" w:type="dxa"/>
            <w:tcBorders>
              <w:tl2br w:val="nil"/>
              <w:tr2bl w:val="nil"/>
            </w:tcBorders>
            <w:shd w:val="clear" w:color="000000" w:fill="FFFFFF"/>
            <w:noWrap w:val="0"/>
            <w:vAlign w:val="center"/>
          </w:tcPr>
          <w:p w14:paraId="613F476E">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eastAsia="zh-CN"/>
              </w:rPr>
            </w:pPr>
            <w:r>
              <w:rPr>
                <w:rFonts w:hint="eastAsia" w:ascii="Times New Roman" w:hAnsi="Times New Roman" w:eastAsia="仿宋" w:cs="Times New Roman"/>
                <w:color w:val="auto"/>
                <w:kern w:val="0"/>
                <w:sz w:val="24"/>
                <w:szCs w:val="24"/>
                <w:lang w:val="en-US" w:eastAsia="zh-CN"/>
              </w:rPr>
              <w:t>差旅费</w:t>
            </w:r>
          </w:p>
        </w:tc>
        <w:tc>
          <w:tcPr>
            <w:tcW w:w="1605" w:type="dxa"/>
            <w:tcBorders>
              <w:tl2br w:val="nil"/>
              <w:tr2bl w:val="nil"/>
            </w:tcBorders>
            <w:shd w:val="clear" w:color="000000" w:fill="FFFFFF"/>
            <w:noWrap w:val="0"/>
            <w:vAlign w:val="center"/>
          </w:tcPr>
          <w:p w14:paraId="3400C3BB">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101</w:t>
            </w:r>
          </w:p>
        </w:tc>
        <w:tc>
          <w:tcPr>
            <w:tcW w:w="1566" w:type="dxa"/>
            <w:tcBorders>
              <w:tl2br w:val="nil"/>
              <w:tr2bl w:val="nil"/>
            </w:tcBorders>
            <w:shd w:val="clear" w:color="000000" w:fill="FFFFFF"/>
            <w:noWrap w:val="0"/>
            <w:vAlign w:val="center"/>
          </w:tcPr>
          <w:p w14:paraId="5BEB3B71">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101</w:t>
            </w:r>
          </w:p>
        </w:tc>
      </w:tr>
      <w:tr w14:paraId="7C07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232" w:type="dxa"/>
            <w:vMerge w:val="continue"/>
            <w:tcBorders>
              <w:tl2br w:val="nil"/>
              <w:tr2bl w:val="nil"/>
            </w:tcBorders>
            <w:shd w:val="clear" w:color="000000" w:fill="FFFFFF"/>
            <w:noWrap w:val="0"/>
            <w:vAlign w:val="center"/>
          </w:tcPr>
          <w:p w14:paraId="241BD58E">
            <w:pPr>
              <w:keepNext w:val="0"/>
              <w:keepLines w:val="0"/>
              <w:pageBreakBefore w:val="0"/>
              <w:widowControl/>
              <w:kinsoku/>
              <w:wordWrap/>
              <w:overflowPunct/>
              <w:topLinePunct w:val="0"/>
              <w:autoSpaceDE/>
              <w:autoSpaceDN/>
              <w:bidi w:val="0"/>
              <w:adjustRightInd w:val="0"/>
              <w:snapToGrid w:val="0"/>
              <w:spacing w:line="300" w:lineRule="exact"/>
              <w:ind w:left="0" w:leftChars="0" w:firstLine="448" w:firstLineChars="187"/>
              <w:jc w:val="center"/>
              <w:rPr>
                <w:rFonts w:hint="default" w:ascii="Times New Roman" w:hAnsi="Times New Roman" w:eastAsia="仿宋" w:cs="Times New Roman"/>
                <w:color w:val="auto"/>
                <w:kern w:val="0"/>
                <w:sz w:val="24"/>
                <w:szCs w:val="24"/>
              </w:rPr>
            </w:pPr>
          </w:p>
        </w:tc>
        <w:tc>
          <w:tcPr>
            <w:tcW w:w="1980" w:type="dxa"/>
            <w:tcBorders>
              <w:tl2br w:val="nil"/>
              <w:tr2bl w:val="nil"/>
            </w:tcBorders>
            <w:shd w:val="clear" w:color="000000" w:fill="FFFFFF"/>
            <w:noWrap w:val="0"/>
            <w:vAlign w:val="center"/>
          </w:tcPr>
          <w:p w14:paraId="7CC33AD7">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委托业务费</w:t>
            </w:r>
          </w:p>
        </w:tc>
        <w:tc>
          <w:tcPr>
            <w:tcW w:w="1605" w:type="dxa"/>
            <w:tcBorders>
              <w:tl2br w:val="nil"/>
              <w:tr2bl w:val="nil"/>
            </w:tcBorders>
            <w:shd w:val="clear" w:color="000000" w:fill="FFFFFF"/>
            <w:noWrap w:val="0"/>
            <w:vAlign w:val="center"/>
          </w:tcPr>
          <w:p w14:paraId="5784934A">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60.5</w:t>
            </w:r>
          </w:p>
        </w:tc>
        <w:tc>
          <w:tcPr>
            <w:tcW w:w="1566" w:type="dxa"/>
            <w:tcBorders>
              <w:tl2br w:val="nil"/>
              <w:tr2bl w:val="nil"/>
            </w:tcBorders>
            <w:shd w:val="clear" w:color="000000" w:fill="FFFFFF"/>
            <w:noWrap w:val="0"/>
            <w:vAlign w:val="center"/>
          </w:tcPr>
          <w:p w14:paraId="04B4848F">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60.47</w:t>
            </w:r>
          </w:p>
        </w:tc>
      </w:tr>
      <w:tr w14:paraId="2F7F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232" w:type="dxa"/>
            <w:vMerge w:val="continue"/>
            <w:tcBorders>
              <w:tl2br w:val="nil"/>
              <w:tr2bl w:val="nil"/>
            </w:tcBorders>
            <w:shd w:val="clear" w:color="000000" w:fill="FFFFFF"/>
            <w:noWrap w:val="0"/>
            <w:vAlign w:val="center"/>
          </w:tcPr>
          <w:p w14:paraId="6B79F37A">
            <w:pPr>
              <w:keepNext w:val="0"/>
              <w:keepLines w:val="0"/>
              <w:pageBreakBefore w:val="0"/>
              <w:widowControl/>
              <w:kinsoku/>
              <w:wordWrap/>
              <w:overflowPunct/>
              <w:topLinePunct w:val="0"/>
              <w:autoSpaceDE/>
              <w:autoSpaceDN/>
              <w:bidi w:val="0"/>
              <w:adjustRightInd w:val="0"/>
              <w:snapToGrid w:val="0"/>
              <w:spacing w:line="300" w:lineRule="exact"/>
              <w:ind w:left="0" w:leftChars="0" w:firstLine="448" w:firstLineChars="187"/>
              <w:jc w:val="center"/>
              <w:rPr>
                <w:rFonts w:hint="default" w:ascii="Times New Roman" w:hAnsi="Times New Roman" w:eastAsia="仿宋" w:cs="Times New Roman"/>
                <w:color w:val="auto"/>
                <w:kern w:val="0"/>
                <w:sz w:val="24"/>
                <w:szCs w:val="24"/>
              </w:rPr>
            </w:pPr>
          </w:p>
        </w:tc>
        <w:tc>
          <w:tcPr>
            <w:tcW w:w="1980" w:type="dxa"/>
            <w:tcBorders>
              <w:tl2br w:val="nil"/>
              <w:tr2bl w:val="nil"/>
            </w:tcBorders>
            <w:shd w:val="clear" w:color="000000" w:fill="FFFFFF"/>
            <w:noWrap w:val="0"/>
            <w:vAlign w:val="center"/>
          </w:tcPr>
          <w:p w14:paraId="0CCFD5C5">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其他交通费用</w:t>
            </w:r>
          </w:p>
        </w:tc>
        <w:tc>
          <w:tcPr>
            <w:tcW w:w="1605" w:type="dxa"/>
            <w:tcBorders>
              <w:tl2br w:val="nil"/>
              <w:tr2bl w:val="nil"/>
            </w:tcBorders>
            <w:shd w:val="clear" w:color="000000" w:fill="FFFFFF"/>
            <w:noWrap w:val="0"/>
            <w:vAlign w:val="center"/>
          </w:tcPr>
          <w:p w14:paraId="00BECE7C">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4.2</w:t>
            </w:r>
          </w:p>
        </w:tc>
        <w:tc>
          <w:tcPr>
            <w:tcW w:w="1566" w:type="dxa"/>
            <w:tcBorders>
              <w:tl2br w:val="nil"/>
              <w:tr2bl w:val="nil"/>
            </w:tcBorders>
            <w:shd w:val="clear" w:color="000000" w:fill="FFFFFF"/>
            <w:noWrap w:val="0"/>
            <w:vAlign w:val="center"/>
          </w:tcPr>
          <w:p w14:paraId="7EF1FA6B">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1.76</w:t>
            </w:r>
          </w:p>
        </w:tc>
      </w:tr>
      <w:tr w14:paraId="7965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232" w:type="dxa"/>
            <w:vMerge w:val="continue"/>
            <w:tcBorders>
              <w:tl2br w:val="nil"/>
              <w:tr2bl w:val="nil"/>
            </w:tcBorders>
            <w:shd w:val="clear" w:color="000000" w:fill="FFFFFF"/>
            <w:noWrap w:val="0"/>
            <w:vAlign w:val="center"/>
          </w:tcPr>
          <w:p w14:paraId="5EA72D5F">
            <w:pPr>
              <w:keepNext w:val="0"/>
              <w:keepLines w:val="0"/>
              <w:pageBreakBefore w:val="0"/>
              <w:widowControl/>
              <w:kinsoku/>
              <w:wordWrap/>
              <w:overflowPunct/>
              <w:topLinePunct w:val="0"/>
              <w:autoSpaceDE/>
              <w:autoSpaceDN/>
              <w:bidi w:val="0"/>
              <w:adjustRightInd w:val="0"/>
              <w:snapToGrid w:val="0"/>
              <w:spacing w:line="300" w:lineRule="exact"/>
              <w:ind w:left="0" w:leftChars="0" w:firstLine="448" w:firstLineChars="187"/>
              <w:jc w:val="center"/>
              <w:rPr>
                <w:rFonts w:hint="default" w:ascii="Times New Roman" w:hAnsi="Times New Roman" w:eastAsia="仿宋" w:cs="Times New Roman"/>
                <w:color w:val="auto"/>
                <w:kern w:val="0"/>
                <w:sz w:val="24"/>
                <w:szCs w:val="24"/>
              </w:rPr>
            </w:pPr>
          </w:p>
        </w:tc>
        <w:tc>
          <w:tcPr>
            <w:tcW w:w="1980" w:type="dxa"/>
            <w:tcBorders>
              <w:tl2br w:val="nil"/>
              <w:tr2bl w:val="nil"/>
            </w:tcBorders>
            <w:shd w:val="clear" w:color="000000" w:fill="FFFFFF"/>
            <w:noWrap w:val="0"/>
            <w:vAlign w:val="center"/>
          </w:tcPr>
          <w:p w14:paraId="3D395A7A">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会议费</w:t>
            </w:r>
          </w:p>
        </w:tc>
        <w:tc>
          <w:tcPr>
            <w:tcW w:w="1605" w:type="dxa"/>
            <w:tcBorders>
              <w:tl2br w:val="nil"/>
              <w:tr2bl w:val="nil"/>
            </w:tcBorders>
            <w:shd w:val="clear" w:color="000000" w:fill="FFFFFF"/>
            <w:noWrap w:val="0"/>
            <w:vAlign w:val="center"/>
          </w:tcPr>
          <w:p w14:paraId="66FAF4B4">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7</w:t>
            </w:r>
          </w:p>
        </w:tc>
        <w:tc>
          <w:tcPr>
            <w:tcW w:w="1566" w:type="dxa"/>
            <w:tcBorders>
              <w:tl2br w:val="nil"/>
              <w:tr2bl w:val="nil"/>
            </w:tcBorders>
            <w:shd w:val="clear" w:color="000000" w:fill="FFFFFF"/>
            <w:noWrap w:val="0"/>
            <w:vAlign w:val="center"/>
          </w:tcPr>
          <w:p w14:paraId="49E30C8B">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5.03</w:t>
            </w:r>
          </w:p>
        </w:tc>
      </w:tr>
      <w:tr w14:paraId="60C1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232" w:type="dxa"/>
            <w:vMerge w:val="continue"/>
            <w:tcBorders>
              <w:tl2br w:val="nil"/>
              <w:tr2bl w:val="nil"/>
            </w:tcBorders>
            <w:shd w:val="clear" w:color="000000" w:fill="FFFFFF"/>
            <w:noWrap w:val="0"/>
            <w:vAlign w:val="center"/>
          </w:tcPr>
          <w:p w14:paraId="14B7A479">
            <w:pPr>
              <w:keepNext w:val="0"/>
              <w:keepLines w:val="0"/>
              <w:pageBreakBefore w:val="0"/>
              <w:widowControl/>
              <w:kinsoku/>
              <w:wordWrap/>
              <w:overflowPunct/>
              <w:topLinePunct w:val="0"/>
              <w:autoSpaceDE/>
              <w:autoSpaceDN/>
              <w:bidi w:val="0"/>
              <w:adjustRightInd w:val="0"/>
              <w:snapToGrid w:val="0"/>
              <w:spacing w:line="300" w:lineRule="exact"/>
              <w:ind w:left="0" w:leftChars="0" w:firstLine="448" w:firstLineChars="187"/>
              <w:jc w:val="center"/>
              <w:rPr>
                <w:rFonts w:hint="default" w:ascii="Times New Roman" w:hAnsi="Times New Roman" w:eastAsia="仿宋" w:cs="Times New Roman"/>
                <w:color w:val="auto"/>
                <w:kern w:val="0"/>
                <w:sz w:val="24"/>
                <w:szCs w:val="24"/>
              </w:rPr>
            </w:pPr>
          </w:p>
        </w:tc>
        <w:tc>
          <w:tcPr>
            <w:tcW w:w="1980" w:type="dxa"/>
            <w:tcBorders>
              <w:tl2br w:val="nil"/>
              <w:tr2bl w:val="nil"/>
            </w:tcBorders>
            <w:shd w:val="clear" w:color="000000" w:fill="FFFFFF"/>
            <w:noWrap w:val="0"/>
            <w:vAlign w:val="center"/>
          </w:tcPr>
          <w:p w14:paraId="6B3F92A1">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印刷费</w:t>
            </w:r>
          </w:p>
        </w:tc>
        <w:tc>
          <w:tcPr>
            <w:tcW w:w="1605" w:type="dxa"/>
            <w:tcBorders>
              <w:tl2br w:val="nil"/>
              <w:tr2bl w:val="nil"/>
            </w:tcBorders>
            <w:shd w:val="clear" w:color="000000" w:fill="FFFFFF"/>
            <w:noWrap w:val="0"/>
            <w:vAlign w:val="center"/>
          </w:tcPr>
          <w:p w14:paraId="6F587E27">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4.9</w:t>
            </w:r>
          </w:p>
        </w:tc>
        <w:tc>
          <w:tcPr>
            <w:tcW w:w="1566" w:type="dxa"/>
            <w:tcBorders>
              <w:tl2br w:val="nil"/>
              <w:tr2bl w:val="nil"/>
            </w:tcBorders>
            <w:shd w:val="clear" w:color="000000" w:fill="FFFFFF"/>
            <w:noWrap w:val="0"/>
            <w:vAlign w:val="center"/>
          </w:tcPr>
          <w:p w14:paraId="6377FD18">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4.9</w:t>
            </w:r>
          </w:p>
        </w:tc>
      </w:tr>
    </w:tbl>
    <w:p w14:paraId="235F921B">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line="560" w:lineRule="exact"/>
        <w:ind w:left="0" w:right="0" w:rightChars="0" w:firstLine="640" w:firstLineChars="200"/>
        <w:textAlignment w:val="auto"/>
        <w:rPr>
          <w:rFonts w:hint="default"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（二）资金管理情况分析</w:t>
      </w:r>
    </w:p>
    <w:p w14:paraId="51C05C79">
      <w:pPr>
        <w:pStyle w:val="2"/>
        <w:keepNext w:val="0"/>
        <w:keepLines w:val="0"/>
        <w:pageBreakBefore w:val="0"/>
        <w:widowControl/>
        <w:kinsoku w:val="0"/>
        <w:wordWrap/>
        <w:overflowPunct/>
        <w:topLinePunct w:val="0"/>
        <w:autoSpaceDE w:val="0"/>
        <w:autoSpaceDN w:val="0"/>
        <w:bidi w:val="0"/>
        <w:adjustRightInd w:val="0"/>
        <w:snapToGrid w:val="0"/>
        <w:spacing w:before="0" w:beforeLines="0" w:line="560" w:lineRule="exact"/>
        <w:ind w:left="0" w:right="0" w:firstLine="607"/>
        <w:jc w:val="both"/>
        <w:textAlignment w:val="baseline"/>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zh-CN" w:eastAsia="zh-CN" w:bidi="ar-SA"/>
        </w:rPr>
        <w:t>为保障开展医疗器械不良事件监测工作需要，</w:t>
      </w:r>
      <w:r>
        <w:rPr>
          <w:rFonts w:hint="eastAsia" w:ascii="Times New Roman" w:hAnsi="Times New Roman" w:eastAsia="仿宋_GB2312" w:cs="Times New Roman"/>
          <w:color w:val="auto"/>
          <w:kern w:val="2"/>
          <w:sz w:val="32"/>
          <w:szCs w:val="32"/>
          <w:lang w:val="en-US" w:eastAsia="zh-CN" w:bidi="ar-SA"/>
        </w:rPr>
        <w:t>财政安排中央专项资金，用于开展我省</w:t>
      </w:r>
      <w:r>
        <w:rPr>
          <w:rFonts w:hint="eastAsia" w:ascii="Times New Roman" w:hAnsi="Times New Roman" w:eastAsia="仿宋_GB2312" w:cs="Times New Roman"/>
          <w:color w:val="auto"/>
          <w:kern w:val="2"/>
          <w:sz w:val="32"/>
          <w:szCs w:val="32"/>
          <w:lang w:val="zh-CN" w:eastAsia="zh-CN" w:bidi="ar-SA"/>
        </w:rPr>
        <w:t>医疗器械不良事件监测</w:t>
      </w:r>
      <w:r>
        <w:rPr>
          <w:rFonts w:hint="eastAsia" w:ascii="Times New Roman" w:hAnsi="Times New Roman" w:eastAsia="仿宋_GB2312" w:cs="Times New Roman"/>
          <w:color w:val="auto"/>
          <w:kern w:val="2"/>
          <w:sz w:val="32"/>
          <w:szCs w:val="32"/>
          <w:lang w:val="en-US" w:eastAsia="zh-CN" w:bidi="ar-SA"/>
        </w:rPr>
        <w:t>工作及</w:t>
      </w:r>
      <w:r>
        <w:rPr>
          <w:rFonts w:hint="eastAsia" w:ascii="Times New Roman" w:hAnsi="Times New Roman" w:eastAsia="仿宋_GB2312" w:cs="Times New Roman"/>
          <w:color w:val="auto"/>
          <w:kern w:val="2"/>
          <w:sz w:val="32"/>
          <w:szCs w:val="32"/>
          <w:lang w:val="zh-CN" w:eastAsia="zh-CN" w:bidi="ar-SA"/>
        </w:rPr>
        <w:t>药品注册工作</w:t>
      </w:r>
      <w:r>
        <w:rPr>
          <w:rFonts w:hint="eastAsia" w:ascii="Times New Roman" w:hAnsi="Times New Roman" w:eastAsia="仿宋_GB2312" w:cs="Times New Roman"/>
          <w:color w:val="auto"/>
          <w:kern w:val="2"/>
          <w:sz w:val="32"/>
          <w:szCs w:val="32"/>
          <w:lang w:val="en-US" w:eastAsia="zh-CN" w:bidi="ar-SA"/>
        </w:rPr>
        <w:t>需要，全年共下达预算资金267万元，至年底共执行262.56万元，预算执行率为98.34%。</w:t>
      </w:r>
    </w:p>
    <w:p w14:paraId="29CB68BE">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line="560" w:lineRule="exact"/>
        <w:ind w:left="0" w:right="0" w:rightChars="0" w:firstLine="640" w:firstLineChars="200"/>
        <w:textAlignment w:val="auto"/>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（三）总体绩效目标完成情况分析</w:t>
      </w:r>
    </w:p>
    <w:p w14:paraId="14A82001">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line="560" w:lineRule="exact"/>
        <w:ind w:left="0" w:right="0" w:rightChars="0"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进一步提高全省医疗器械不良事件监测工作水平，强化监测队伍能力建设；完成国家药品不良反应监测中心2个品种安全性评价工作及医疗器械不良事件监测检查36家次。提高注册人监测、评价和风险控制能力，促进医疗器械行业健康发展。完成国家局委托下达的，国省联合检查任务、课题研究工作、安全性评价等任务，全年共完成国省联合检查96家次。</w:t>
      </w:r>
    </w:p>
    <w:p w14:paraId="4544CBB6">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line="560" w:lineRule="exact"/>
        <w:ind w:left="0" w:right="0" w:rightChars="0" w:firstLine="640" w:firstLineChars="200"/>
        <w:textAlignment w:val="auto"/>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（四）绩效指标完成情况分析。</w:t>
      </w:r>
    </w:p>
    <w:p w14:paraId="220A5FF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1.产出指标完成情况</w:t>
      </w:r>
    </w:p>
    <w:p w14:paraId="6A1F9D3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（1）数量指标：完成国省联合检查96家次、医疗器械不良事件监测检查36家次。</w:t>
      </w:r>
    </w:p>
    <w:p w14:paraId="573E8D0E">
      <w:pPr>
        <w:pStyle w:val="2"/>
        <w:keepNext w:val="0"/>
        <w:keepLines w:val="0"/>
        <w:pageBreakBefore w:val="0"/>
        <w:wordWrap/>
        <w:overflowPunct/>
        <w:topLinePunct w:val="0"/>
        <w:bidi w:val="0"/>
        <w:adjustRightInd w:val="0"/>
        <w:snapToGrid w:val="0"/>
        <w:spacing w:before="0" w:beforeLines="0" w:line="560" w:lineRule="exact"/>
        <w:ind w:left="0" w:right="0" w:firstLine="640" w:firstLineChars="200"/>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（2）质量指标：单个宣传视频时长大于3分钟，宣传品制作验收合格率100%。</w:t>
      </w:r>
    </w:p>
    <w:p w14:paraId="01FCC40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（3）时效指标：2024年12月31日前完成。</w:t>
      </w:r>
    </w:p>
    <w:p w14:paraId="059FDDE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2.效益指标完成情况分析</w:t>
      </w:r>
    </w:p>
    <w:p w14:paraId="4C3A772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en-US" w:eastAsia="zh-CN" w:bidi="ar-SA"/>
        </w:rPr>
        <w:t>完成胰岛素泵主动监测病例报告进行质控报告完整率100%。对药品、医疗器械等开展了各项综合监管工作，全力配合省局开展GLP机构、GCP机构监督检查、国省联合检查以及</w:t>
      </w:r>
      <w:r>
        <w:rPr>
          <w:rFonts w:hint="eastAsia" w:ascii="Times New Roman" w:hAnsi="Times New Roman" w:eastAsia="仿宋_GB2312" w:cs="Times New Roman"/>
          <w:color w:val="auto"/>
          <w:kern w:val="2"/>
          <w:sz w:val="32"/>
          <w:szCs w:val="32"/>
          <w:lang w:val="zh-CN" w:eastAsia="zh-CN" w:bidi="ar-SA"/>
        </w:rPr>
        <w:t>对胰岛素泵国内外文献数据、监测哨点主动监测病例、反馈历史数据、医疗器械注册人/代理人及使用单位调研资料及注册人重点监测情况等进行综合分析，明晰胰岛素泵风险点，了解常见不良事件的主要表现及发生原因，对胰岛素泵进行安全性趋势分析，做出安全性评价结论，必要时提出风险控制意见与建议，为医疗器械监管提供技术支撑，推进医疗器械监管体系和监管能力现代化。同时，进一步落实注册人全生命周期质量管理主体责任，提高注册人监测、评价和风险控制能力，以风险管理为核心，强化医疗器械全生命周期监管。</w:t>
      </w:r>
    </w:p>
    <w:p w14:paraId="2C02980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3.满意度指标完成情况：参训人员满意度≥90%。</w:t>
      </w:r>
    </w:p>
    <w:p w14:paraId="242FCF8C">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黑体" w:hAnsi="黑体" w:eastAsia="黑体" w:cs="黑体"/>
          <w:color w:val="auto"/>
          <w:kern w:val="2"/>
          <w:sz w:val="32"/>
          <w:szCs w:val="32"/>
          <w:lang w:val="en-US" w:eastAsia="zh-CN" w:bidi="ar-SA"/>
        </w:rPr>
      </w:pPr>
      <w:r>
        <w:rPr>
          <w:rFonts w:hint="default" w:ascii="黑体" w:hAnsi="黑体" w:eastAsia="黑体" w:cs="黑体"/>
          <w:color w:val="auto"/>
          <w:kern w:val="2"/>
          <w:sz w:val="32"/>
          <w:szCs w:val="32"/>
          <w:lang w:val="en-US" w:eastAsia="zh-CN" w:bidi="ar-SA"/>
        </w:rPr>
        <w:t>三、偏离绩效目标的原因和下一步改进措施</w:t>
      </w:r>
    </w:p>
    <w:p w14:paraId="2D0D7696">
      <w:pPr>
        <w:keepNext w:val="0"/>
        <w:keepLines w:val="0"/>
        <w:pageBreakBefore w:val="0"/>
        <w:widowControl w:val="0"/>
        <w:tabs>
          <w:tab w:val="left" w:pos="3150"/>
        </w:tabs>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基于往年绩效目标存在的偏差，今年在预算编制及绩效指标设置上都进一步优化，使该项目2024年预算执行率达98.34%，执行较好。2025年要进一步加强</w:t>
      </w:r>
      <w:r>
        <w:rPr>
          <w:rFonts w:hint="default" w:ascii="Times New Roman" w:hAnsi="Times New Roman" w:eastAsia="仿宋_GB2312" w:cs="Times New Roman"/>
          <w:color w:val="auto"/>
          <w:sz w:val="32"/>
          <w:szCs w:val="32"/>
          <w:lang w:val="en-US" w:eastAsia="zh-CN"/>
        </w:rPr>
        <w:t>全生命周期全过程的监管监控，确保绩效管理有效的运行，各项绩效指标圆满</w:t>
      </w:r>
      <w:r>
        <w:rPr>
          <w:rFonts w:hint="eastAsia" w:ascii="Times New Roman" w:hAnsi="Times New Roman" w:eastAsia="仿宋_GB2312" w:cs="Times New Roman"/>
          <w:color w:val="auto"/>
          <w:sz w:val="32"/>
          <w:szCs w:val="32"/>
          <w:lang w:val="en-US" w:eastAsia="zh-CN"/>
        </w:rPr>
        <w:t>完</w:t>
      </w:r>
      <w:r>
        <w:rPr>
          <w:rFonts w:hint="default" w:ascii="Times New Roman" w:hAnsi="Times New Roman" w:eastAsia="仿宋_GB2312" w:cs="Times New Roman"/>
          <w:color w:val="auto"/>
          <w:sz w:val="32"/>
          <w:szCs w:val="32"/>
          <w:lang w:val="en-US" w:eastAsia="zh-CN"/>
        </w:rPr>
        <w:t>成，达到预期工作目标。</w:t>
      </w:r>
    </w:p>
    <w:p w14:paraId="731C530D">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w:t>
      </w:r>
      <w:r>
        <w:rPr>
          <w:rFonts w:hint="default" w:ascii="黑体" w:hAnsi="黑体" w:eastAsia="黑体" w:cs="黑体"/>
          <w:color w:val="auto"/>
          <w:kern w:val="2"/>
          <w:sz w:val="32"/>
          <w:szCs w:val="32"/>
          <w:lang w:val="en-US" w:eastAsia="zh-CN" w:bidi="ar-SA"/>
        </w:rPr>
        <w:t>绩效自评结果拟应用和公开情况</w:t>
      </w:r>
    </w:p>
    <w:p w14:paraId="5181D577">
      <w:pPr>
        <w:pStyle w:val="49"/>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通过绩效自评结果的应用，对于单位具有非常重要的意义，不仅可以更好的编制预算，调整工作方向，还可以提升工作效率和绩效水平，希望未来能够进一步完善绩效管理制度，提高绩效自评的科学性和公开性。</w:t>
      </w:r>
    </w:p>
    <w:p w14:paraId="26020EBA">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黑体" w:hAnsi="黑体" w:eastAsia="黑体" w:cs="黑体"/>
          <w:color w:val="auto"/>
          <w:kern w:val="2"/>
          <w:sz w:val="32"/>
          <w:szCs w:val="32"/>
          <w:lang w:val="en-US" w:eastAsia="zh-CN" w:bidi="ar-SA"/>
        </w:rPr>
      </w:pPr>
      <w:r>
        <w:rPr>
          <w:rFonts w:hint="default" w:ascii="黑体" w:hAnsi="黑体" w:eastAsia="黑体" w:cs="黑体"/>
          <w:color w:val="auto"/>
          <w:kern w:val="2"/>
          <w:sz w:val="32"/>
          <w:szCs w:val="32"/>
          <w:lang w:val="en-US" w:eastAsia="zh-CN" w:bidi="ar-SA"/>
        </w:rPr>
        <w:t>五、其他需要说明的问题</w:t>
      </w:r>
    </w:p>
    <w:p w14:paraId="5BD9437F">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无。</w:t>
      </w:r>
    </w:p>
    <w:p w14:paraId="7C09D63C">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p>
    <w:p w14:paraId="16A50DCE">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right="0"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附</w:t>
      </w:r>
      <w:r>
        <w:rPr>
          <w:rFonts w:hint="eastAsia" w:ascii="Times New Roman" w:hAnsi="Times New Roman" w:eastAsia="仿宋_GB2312" w:cs="Times New Roman"/>
          <w:color w:val="auto"/>
          <w:kern w:val="2"/>
          <w:sz w:val="32"/>
          <w:szCs w:val="32"/>
          <w:lang w:val="en-US" w:eastAsia="zh-CN" w:bidi="ar-SA"/>
        </w:rPr>
        <w:t>表：1.中央药品监管补助资金绩效评价指标体系</w:t>
      </w:r>
    </w:p>
    <w:p w14:paraId="6D5242F2">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right="0" w:firstLine="1600" w:firstLineChars="5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2.中央药品监管区域绩效自评表</w:t>
      </w:r>
    </w:p>
    <w:p w14:paraId="6944378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28284E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BCA7E0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2D4CD8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CB3E42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98D204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DEE06F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248493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79FBE9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sectPr>
          <w:headerReference r:id="rId3" w:type="default"/>
          <w:footerReference r:id="rId4" w:type="default"/>
          <w:footerReference r:id="rId5" w:type="even"/>
          <w:pgSz w:w="11906" w:h="16838"/>
          <w:pgMar w:top="1440" w:right="1797" w:bottom="1474" w:left="1797" w:header="851" w:footer="794" w:gutter="0"/>
          <w:pgNumType w:fmt="numberInDash" w:start="1"/>
          <w:cols w:space="720" w:num="1"/>
          <w:docGrid w:type="lines" w:linePitch="312" w:charSpace="0"/>
        </w:sectPr>
      </w:pPr>
    </w:p>
    <w:p w14:paraId="78C1CD5E">
      <w:pPr>
        <w:keepNext w:val="0"/>
        <w:keepLines w:val="0"/>
        <w:pageBreakBefore w:val="0"/>
        <w:widowControl w:val="0"/>
        <w:suppressLineNumbers w:val="0"/>
        <w:kinsoku/>
        <w:wordWrap/>
        <w:overflowPunct/>
        <w:topLinePunct w:val="0"/>
        <w:autoSpaceDE/>
        <w:autoSpaceDN/>
        <w:bidi w:val="0"/>
        <w:adjustRightInd/>
        <w:snapToGrid/>
        <w:spacing w:line="560" w:lineRule="exact"/>
        <w:ind w:firstLine="0" w:firstLineChars="0"/>
        <w:jc w:val="both"/>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附</w:t>
      </w:r>
      <w:r>
        <w:rPr>
          <w:rFonts w:hint="eastAsia" w:ascii="Times New Roman" w:hAnsi="Times New Roman" w:eastAsia="黑体" w:cs="Times New Roman"/>
          <w:color w:val="auto"/>
          <w:sz w:val="32"/>
          <w:szCs w:val="32"/>
          <w:highlight w:val="none"/>
          <w:lang w:val="en-US" w:eastAsia="zh-CN"/>
        </w:rPr>
        <w:t>表</w:t>
      </w:r>
      <w:r>
        <w:rPr>
          <w:rFonts w:hint="default" w:ascii="Times New Roman" w:hAnsi="Times New Roman" w:eastAsia="黑体" w:cs="Times New Roman"/>
          <w:color w:val="auto"/>
          <w:sz w:val="32"/>
          <w:szCs w:val="32"/>
          <w:highlight w:val="none"/>
          <w:lang w:val="en-US" w:eastAsia="zh-CN"/>
        </w:rPr>
        <w:t>1</w:t>
      </w:r>
    </w:p>
    <w:p w14:paraId="084EC8E5">
      <w:pPr>
        <w:pStyle w:val="9"/>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小标宋简体" w:cs="Times New Roman"/>
          <w:i w:val="0"/>
          <w:caps w:val="0"/>
          <w:color w:val="auto"/>
          <w:spacing w:val="0"/>
          <w:kern w:val="0"/>
          <w:sz w:val="36"/>
          <w:szCs w:val="36"/>
          <w:highlight w:val="none"/>
          <w:shd w:val="clear" w:color="auto" w:fill="FFFFFF"/>
          <w:lang w:val="en-US" w:eastAsia="zh-CN" w:bidi="ar"/>
        </w:rPr>
      </w:pPr>
      <w:r>
        <w:rPr>
          <w:rFonts w:hint="default" w:ascii="Times New Roman" w:hAnsi="Times New Roman" w:eastAsia="方正小标宋简体" w:cs="Times New Roman"/>
          <w:i w:val="0"/>
          <w:caps w:val="0"/>
          <w:color w:val="auto"/>
          <w:spacing w:val="0"/>
          <w:kern w:val="0"/>
          <w:sz w:val="36"/>
          <w:szCs w:val="36"/>
          <w:highlight w:val="none"/>
          <w:shd w:val="clear" w:color="auto" w:fill="FFFFFF"/>
          <w:lang w:val="en-US" w:eastAsia="zh-CN" w:bidi="ar"/>
        </w:rPr>
        <w:drawing>
          <wp:anchor distT="0" distB="0" distL="114300" distR="114300" simplePos="0" relativeHeight="251670528" behindDoc="1" locked="0" layoutInCell="1" allowOverlap="1">
            <wp:simplePos x="0" y="0"/>
            <wp:positionH relativeFrom="column">
              <wp:posOffset>158115</wp:posOffset>
            </wp:positionH>
            <wp:positionV relativeFrom="paragraph">
              <wp:posOffset>267970</wp:posOffset>
            </wp:positionV>
            <wp:extent cx="8200390" cy="5103495"/>
            <wp:effectExtent l="0" t="0" r="10160" b="1905"/>
            <wp:wrapNone/>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7"/>
                    <a:stretch>
                      <a:fillRect/>
                    </a:stretch>
                  </pic:blipFill>
                  <pic:spPr>
                    <a:xfrm>
                      <a:off x="0" y="0"/>
                      <a:ext cx="8200390" cy="5103495"/>
                    </a:xfrm>
                    <a:prstGeom prst="rect">
                      <a:avLst/>
                    </a:prstGeom>
                    <a:noFill/>
                    <a:ln>
                      <a:noFill/>
                    </a:ln>
                  </pic:spPr>
                </pic:pic>
              </a:graphicData>
            </a:graphic>
          </wp:anchor>
        </w:drawing>
      </w:r>
      <w:r>
        <w:rPr>
          <w:rFonts w:hint="eastAsia" w:ascii="Times New Roman" w:hAnsi="Times New Roman" w:eastAsia="方正小标宋简体" w:cs="Times New Roman"/>
          <w:i w:val="0"/>
          <w:caps w:val="0"/>
          <w:color w:val="auto"/>
          <w:spacing w:val="0"/>
          <w:kern w:val="0"/>
          <w:sz w:val="36"/>
          <w:szCs w:val="36"/>
          <w:highlight w:val="none"/>
          <w:shd w:val="clear" w:color="auto" w:fill="FFFFFF"/>
          <w:lang w:val="en-US" w:eastAsia="zh-CN" w:bidi="ar"/>
        </w:rPr>
        <w:t>中央药品监管补助资金绩效评价指标体系</w:t>
      </w:r>
    </w:p>
    <w:p w14:paraId="79D3AA12">
      <w:pPr>
        <w:keepNext w:val="0"/>
        <w:keepLines w:val="0"/>
        <w:pageBreakBefore w:val="0"/>
        <w:widowControl w:val="0"/>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小标宋简体" w:cs="Times New Roman"/>
          <w:i w:val="0"/>
          <w:caps w:val="0"/>
          <w:color w:val="auto"/>
          <w:spacing w:val="0"/>
          <w:kern w:val="0"/>
          <w:sz w:val="44"/>
          <w:szCs w:val="44"/>
          <w:highlight w:val="none"/>
          <w:shd w:val="clear" w:color="auto" w:fill="FFFFFF"/>
          <w:lang w:val="en-US" w:eastAsia="zh-CN" w:bidi="ar"/>
        </w:rPr>
      </w:pPr>
    </w:p>
    <w:p w14:paraId="641D5BF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E1EE88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C753A6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435C9C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65979B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sectPr>
          <w:footerReference r:id="rId6" w:type="default"/>
          <w:footerReference r:id="rId7" w:type="even"/>
          <w:pgSz w:w="16838" w:h="11906" w:orient="landscape"/>
          <w:pgMar w:top="1797" w:right="1440" w:bottom="1797" w:left="1474" w:header="851" w:footer="794" w:gutter="0"/>
          <w:pgNumType w:fmt="numberInDash" w:start="24"/>
          <w:cols w:space="720" w:num="1"/>
          <w:docGrid w:type="lines" w:linePitch="312" w:charSpace="0"/>
        </w:sectPr>
      </w:pPr>
    </w:p>
    <w:p w14:paraId="495763BB">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黑体" w:cs="Times New Roman"/>
          <w:color w:val="auto"/>
          <w:kern w:val="2"/>
          <w:sz w:val="32"/>
          <w:szCs w:val="32"/>
          <w:highlight w:val="none"/>
          <w:lang w:val="en-US" w:eastAsia="zh-CN" w:bidi="ar-SA"/>
        </w:rPr>
      </w:pPr>
      <w:r>
        <w:rPr>
          <w:rFonts w:hint="default" w:ascii="Times New Roman" w:hAnsi="Times New Roman" w:eastAsia="黑体" w:cs="Times New Roman"/>
          <w:color w:val="auto"/>
          <w:kern w:val="2"/>
          <w:sz w:val="32"/>
          <w:szCs w:val="32"/>
          <w:highlight w:val="none"/>
          <w:lang w:val="en-US" w:eastAsia="zh-CN" w:bidi="ar-SA"/>
        </w:rPr>
        <w:drawing>
          <wp:anchor distT="0" distB="0" distL="114300" distR="114300" simplePos="0" relativeHeight="251671552" behindDoc="1" locked="0" layoutInCell="1" allowOverlap="1">
            <wp:simplePos x="0" y="0"/>
            <wp:positionH relativeFrom="column">
              <wp:posOffset>-422910</wp:posOffset>
            </wp:positionH>
            <wp:positionV relativeFrom="paragraph">
              <wp:posOffset>207645</wp:posOffset>
            </wp:positionV>
            <wp:extent cx="6235700" cy="8645525"/>
            <wp:effectExtent l="0" t="0" r="12700" b="3175"/>
            <wp:wrapNone/>
            <wp:docPr id="10" name="图片 11" descr="审评中心2024年中央和省级药品监管专项项目绩效评价指标体系及自评表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审评中心2024年中央和省级药品监管专项项目绩效评价指标体系及自评表_4"/>
                    <pic:cNvPicPr>
                      <a:picLocks noChangeAspect="1"/>
                    </pic:cNvPicPr>
                  </pic:nvPicPr>
                  <pic:blipFill>
                    <a:blip r:embed="rId38"/>
                    <a:stretch>
                      <a:fillRect/>
                    </a:stretch>
                  </pic:blipFill>
                  <pic:spPr>
                    <a:xfrm>
                      <a:off x="0" y="0"/>
                      <a:ext cx="6235700" cy="8645525"/>
                    </a:xfrm>
                    <a:prstGeom prst="rect">
                      <a:avLst/>
                    </a:prstGeom>
                    <a:noFill/>
                    <a:ln>
                      <a:noFill/>
                    </a:ln>
                  </pic:spPr>
                </pic:pic>
              </a:graphicData>
            </a:graphic>
          </wp:anchor>
        </w:drawing>
      </w:r>
      <w:r>
        <w:rPr>
          <w:rFonts w:hint="eastAsia" w:ascii="Times New Roman" w:hAnsi="Times New Roman" w:eastAsia="黑体" w:cs="Times New Roman"/>
          <w:color w:val="auto"/>
          <w:kern w:val="2"/>
          <w:sz w:val="32"/>
          <w:szCs w:val="32"/>
          <w:highlight w:val="none"/>
          <w:lang w:val="en-US" w:eastAsia="zh-CN" w:bidi="ar-SA"/>
        </w:rPr>
        <w:t>附表2</w:t>
      </w:r>
    </w:p>
    <w:p w14:paraId="19A3C70D">
      <w:pPr>
        <w:pStyle w:val="2"/>
        <w:jc w:val="center"/>
        <w:rPr>
          <w:rFonts w:hint="eastAsia" w:ascii="Times New Roman" w:hAnsi="Times New Roman" w:eastAsia="方正小标宋简体" w:cs="Times New Roman"/>
          <w:i w:val="0"/>
          <w:caps w:val="0"/>
          <w:color w:val="auto"/>
          <w:spacing w:val="0"/>
          <w:kern w:val="0"/>
          <w:sz w:val="36"/>
          <w:szCs w:val="36"/>
          <w:highlight w:val="none"/>
          <w:shd w:val="clear" w:color="auto" w:fill="FFFFFF"/>
          <w:lang w:val="en-US" w:eastAsia="zh-CN" w:bidi="ar"/>
        </w:rPr>
      </w:pPr>
      <w:r>
        <w:rPr>
          <w:rFonts w:hint="eastAsia" w:ascii="Times New Roman" w:hAnsi="Times New Roman" w:eastAsia="方正小标宋简体" w:cs="Times New Roman"/>
          <w:i w:val="0"/>
          <w:caps w:val="0"/>
          <w:color w:val="auto"/>
          <w:spacing w:val="0"/>
          <w:kern w:val="0"/>
          <w:sz w:val="36"/>
          <w:szCs w:val="36"/>
          <w:highlight w:val="none"/>
          <w:shd w:val="clear" w:color="auto" w:fill="FFFFFF"/>
          <w:lang w:val="en-US" w:eastAsia="zh-CN" w:bidi="ar"/>
        </w:rPr>
        <w:t>中央药品监管区域绩效自评表</w:t>
      </w:r>
    </w:p>
    <w:p w14:paraId="368F7472">
      <w:pPr>
        <w:pStyle w:val="2"/>
        <w:rPr>
          <w:rFonts w:hint="eastAsia" w:ascii="黑体" w:hAnsi="黑体" w:eastAsia="黑体"/>
          <w:color w:val="000000"/>
          <w:sz w:val="44"/>
          <w:szCs w:val="44"/>
        </w:rPr>
      </w:pPr>
    </w:p>
    <w:p w14:paraId="0A16982F">
      <w:pPr>
        <w:pStyle w:val="2"/>
        <w:rPr>
          <w:rFonts w:hint="eastAsia" w:ascii="黑体" w:hAnsi="黑体" w:eastAsia="黑体"/>
          <w:color w:val="000000"/>
          <w:sz w:val="44"/>
          <w:szCs w:val="44"/>
        </w:rPr>
      </w:pPr>
    </w:p>
    <w:p w14:paraId="5DED8811">
      <w:pPr>
        <w:pStyle w:val="2"/>
        <w:rPr>
          <w:rFonts w:hint="eastAsia" w:ascii="黑体" w:hAnsi="黑体" w:eastAsia="黑体"/>
          <w:color w:val="000000"/>
          <w:sz w:val="44"/>
          <w:szCs w:val="44"/>
        </w:rPr>
      </w:pPr>
    </w:p>
    <w:p w14:paraId="43225081">
      <w:pPr>
        <w:pStyle w:val="2"/>
        <w:rPr>
          <w:rFonts w:hint="eastAsia" w:ascii="黑体" w:hAnsi="黑体" w:eastAsia="黑体"/>
          <w:color w:val="000000"/>
          <w:sz w:val="44"/>
          <w:szCs w:val="44"/>
        </w:rPr>
      </w:pPr>
    </w:p>
    <w:p w14:paraId="4C255071">
      <w:pPr>
        <w:pStyle w:val="2"/>
        <w:rPr>
          <w:rFonts w:hint="eastAsia" w:ascii="黑体" w:hAnsi="黑体" w:eastAsia="黑体"/>
          <w:color w:val="000000"/>
          <w:sz w:val="44"/>
          <w:szCs w:val="44"/>
        </w:rPr>
      </w:pPr>
    </w:p>
    <w:p w14:paraId="2D233A88">
      <w:pPr>
        <w:pStyle w:val="2"/>
        <w:rPr>
          <w:rFonts w:hint="eastAsia" w:ascii="黑体" w:hAnsi="黑体" w:eastAsia="黑体"/>
          <w:color w:val="000000"/>
          <w:sz w:val="44"/>
          <w:szCs w:val="44"/>
        </w:rPr>
      </w:pPr>
    </w:p>
    <w:p w14:paraId="26F1B014">
      <w:pPr>
        <w:spacing w:line="600" w:lineRule="exact"/>
        <w:jc w:val="center"/>
        <w:outlineLvl w:val="0"/>
        <w:rPr>
          <w:rFonts w:hint="eastAsia" w:ascii="黑体" w:hAnsi="黑体" w:eastAsia="黑体"/>
          <w:color w:val="000000"/>
          <w:sz w:val="44"/>
          <w:szCs w:val="44"/>
        </w:rPr>
      </w:pPr>
    </w:p>
    <w:p w14:paraId="0FB05A2A">
      <w:pPr>
        <w:spacing w:line="600" w:lineRule="exact"/>
        <w:jc w:val="center"/>
        <w:outlineLvl w:val="0"/>
        <w:rPr>
          <w:rFonts w:hint="eastAsia" w:ascii="黑体" w:hAnsi="黑体" w:eastAsia="黑体"/>
          <w:color w:val="000000"/>
          <w:sz w:val="44"/>
          <w:szCs w:val="44"/>
        </w:rPr>
      </w:pPr>
    </w:p>
    <w:p w14:paraId="74C75E4F">
      <w:pPr>
        <w:spacing w:line="600" w:lineRule="exact"/>
        <w:jc w:val="center"/>
        <w:outlineLvl w:val="0"/>
        <w:rPr>
          <w:rFonts w:hint="eastAsia" w:ascii="黑体" w:hAnsi="黑体" w:eastAsia="黑体"/>
          <w:color w:val="000000"/>
          <w:sz w:val="44"/>
          <w:szCs w:val="44"/>
        </w:rPr>
      </w:pPr>
    </w:p>
    <w:p w14:paraId="06FFAA92">
      <w:pPr>
        <w:spacing w:line="600" w:lineRule="exact"/>
        <w:jc w:val="both"/>
        <w:outlineLvl w:val="0"/>
        <w:rPr>
          <w:rFonts w:hint="eastAsia" w:ascii="黑体" w:hAnsi="黑体" w:eastAsia="黑体"/>
          <w:color w:val="000000"/>
          <w:sz w:val="44"/>
          <w:szCs w:val="44"/>
        </w:rPr>
      </w:pPr>
    </w:p>
    <w:p w14:paraId="054D445F">
      <w:pPr>
        <w:pStyle w:val="9"/>
        <w:rPr>
          <w:rFonts w:hint="eastAsia" w:ascii="黑体" w:hAnsi="黑体" w:eastAsia="黑体"/>
          <w:color w:val="000000"/>
          <w:sz w:val="44"/>
          <w:szCs w:val="44"/>
        </w:rPr>
      </w:pPr>
    </w:p>
    <w:p w14:paraId="6FC5E36F">
      <w:pPr>
        <w:pStyle w:val="9"/>
        <w:rPr>
          <w:rFonts w:hint="eastAsia" w:ascii="黑体" w:hAnsi="黑体" w:eastAsia="黑体"/>
          <w:color w:val="000000"/>
          <w:sz w:val="44"/>
          <w:szCs w:val="44"/>
        </w:rPr>
      </w:pPr>
    </w:p>
    <w:p w14:paraId="44EE2927">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1A918244">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04863C5A">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3B0038CB">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22EEBCD4">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486BFD86">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3E486259">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58E37D49">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122DA7FF">
      <w:pPr>
        <w:keepNext w:val="0"/>
        <w:keepLines w:val="0"/>
        <w:pageBreakBefore w:val="0"/>
        <w:widowControl w:val="0"/>
        <w:kinsoku/>
        <w:wordWrap/>
        <w:overflowPunct/>
        <w:topLinePunct w:val="0"/>
        <w:autoSpaceDE/>
        <w:autoSpaceDN/>
        <w:bidi w:val="0"/>
        <w:adjustRightInd w:val="0"/>
        <w:snapToGrid w:val="0"/>
        <w:spacing w:line="560" w:lineRule="exact"/>
        <w:ind w:left="0"/>
        <w:jc w:val="center"/>
        <w:textAlignment w:val="auto"/>
        <w:rPr>
          <w:rFonts w:hint="default" w:ascii="Times New Roman" w:hAnsi="Times New Roman" w:eastAsia="方正小标宋简体" w:cs="Times New Roman"/>
          <w:sz w:val="36"/>
          <w:szCs w:val="36"/>
          <w:lang w:val="en-US" w:eastAsia="zh-CN"/>
        </w:rPr>
        <w:sectPr>
          <w:footerReference r:id="rId8" w:type="default"/>
          <w:footerReference r:id="rId9" w:type="even"/>
          <w:pgSz w:w="11906" w:h="16838"/>
          <w:pgMar w:top="1440" w:right="1797" w:bottom="1474" w:left="1797" w:header="851" w:footer="794" w:gutter="0"/>
          <w:pgNumType w:fmt="numberInDash" w:start="25"/>
          <w:cols w:space="720" w:num="1"/>
          <w:docGrid w:type="lines" w:linePitch="312" w:charSpace="0"/>
        </w:sectPr>
      </w:pPr>
    </w:p>
    <w:p w14:paraId="19A5CE08">
      <w:pPr>
        <w:keepNext w:val="0"/>
        <w:keepLines w:val="0"/>
        <w:pageBreakBefore w:val="0"/>
        <w:widowControl w:val="0"/>
        <w:kinsoku/>
        <w:wordWrap/>
        <w:overflowPunct/>
        <w:topLinePunct w:val="0"/>
        <w:autoSpaceDE/>
        <w:autoSpaceDN/>
        <w:bidi w:val="0"/>
        <w:adjustRightInd w:val="0"/>
        <w:snapToGrid w:val="0"/>
        <w:spacing w:line="560" w:lineRule="exact"/>
        <w:ind w:left="0"/>
        <w:jc w:val="center"/>
        <w:textAlignment w:val="auto"/>
        <w:rPr>
          <w:rFonts w:hint="eastAsia" w:ascii="Times New Roman" w:hAnsi="Times New Roman" w:eastAsia="方正小标宋简体" w:cs="Times New Roman"/>
          <w:sz w:val="36"/>
          <w:szCs w:val="36"/>
          <w:lang w:val="en-US" w:eastAsia="zh-CN"/>
        </w:rPr>
      </w:pPr>
      <w:r>
        <w:rPr>
          <w:rFonts w:hint="eastAsia" w:ascii="Times New Roman" w:hAnsi="Times New Roman" w:eastAsia="方正小标宋简体" w:cs="Times New Roman"/>
          <w:sz w:val="36"/>
          <w:szCs w:val="36"/>
          <w:lang w:val="en-US" w:eastAsia="zh-CN"/>
        </w:rPr>
        <w:t>2024</w:t>
      </w:r>
      <w:r>
        <w:rPr>
          <w:rFonts w:hint="default" w:ascii="Times New Roman" w:hAnsi="Times New Roman" w:eastAsia="方正小标宋简体" w:cs="Times New Roman"/>
          <w:sz w:val="36"/>
          <w:szCs w:val="36"/>
          <w:lang w:val="en-US" w:eastAsia="zh-CN"/>
        </w:rPr>
        <w:t>年</w:t>
      </w:r>
      <w:r>
        <w:rPr>
          <w:rFonts w:hint="eastAsia" w:ascii="Times New Roman" w:hAnsi="Times New Roman" w:eastAsia="方正小标宋简体" w:cs="Times New Roman"/>
          <w:sz w:val="36"/>
          <w:szCs w:val="36"/>
          <w:lang w:val="en-US" w:eastAsia="zh-CN"/>
        </w:rPr>
        <w:t>度省级药品监管专项资金绩效自评情况</w:t>
      </w:r>
    </w:p>
    <w:p w14:paraId="01A21D82">
      <w:pPr>
        <w:keepNext w:val="0"/>
        <w:keepLines w:val="0"/>
        <w:pageBreakBefore w:val="0"/>
        <w:widowControl w:val="0"/>
        <w:kinsoku/>
        <w:wordWrap/>
        <w:overflowPunct/>
        <w:topLinePunct w:val="0"/>
        <w:autoSpaceDE/>
        <w:autoSpaceDN/>
        <w:bidi w:val="0"/>
        <w:adjustRightInd w:val="0"/>
        <w:snapToGrid w:val="0"/>
        <w:spacing w:line="560" w:lineRule="exact"/>
        <w:ind w:left="0"/>
        <w:jc w:val="center"/>
        <w:textAlignment w:val="auto"/>
        <w:rPr>
          <w:rFonts w:hint="eastAsia" w:ascii="Times New Roman" w:hAnsi="Times New Roman" w:eastAsia="方正小标宋简体" w:cs="Times New Roman"/>
          <w:sz w:val="36"/>
          <w:szCs w:val="36"/>
          <w:lang w:val="en-US" w:eastAsia="zh-CN"/>
        </w:rPr>
      </w:pPr>
      <w:r>
        <w:rPr>
          <w:rFonts w:hint="eastAsia" w:ascii="Times New Roman" w:hAnsi="Times New Roman" w:eastAsia="方正小标宋简体" w:cs="Times New Roman"/>
          <w:sz w:val="36"/>
          <w:szCs w:val="36"/>
          <w:lang w:val="en-US" w:eastAsia="zh-CN"/>
        </w:rPr>
        <w:t>的报告</w:t>
      </w:r>
    </w:p>
    <w:p w14:paraId="0DF436D8">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p>
    <w:p w14:paraId="5CC2A01A">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黑体" w:hAnsi="黑体" w:eastAsia="黑体" w:cs="黑体"/>
          <w:color w:val="auto"/>
          <w:kern w:val="2"/>
          <w:sz w:val="32"/>
          <w:szCs w:val="32"/>
          <w:lang w:val="zh-CN" w:eastAsia="zh-CN" w:bidi="ar-SA"/>
        </w:rPr>
      </w:pPr>
      <w:r>
        <w:rPr>
          <w:rFonts w:hint="eastAsia" w:ascii="黑体" w:hAnsi="黑体" w:eastAsia="黑体" w:cs="黑体"/>
          <w:color w:val="auto"/>
          <w:kern w:val="2"/>
          <w:sz w:val="32"/>
          <w:szCs w:val="32"/>
          <w:lang w:val="en-US" w:eastAsia="zh-CN" w:bidi="ar-SA"/>
        </w:rPr>
        <w:t>一、</w:t>
      </w:r>
      <w:r>
        <w:rPr>
          <w:rFonts w:hint="eastAsia" w:ascii="黑体" w:hAnsi="黑体" w:eastAsia="黑体" w:cs="黑体"/>
          <w:color w:val="auto"/>
          <w:kern w:val="2"/>
          <w:sz w:val="32"/>
          <w:szCs w:val="32"/>
          <w:lang w:val="zh-CN" w:eastAsia="zh-CN" w:bidi="ar-SA"/>
        </w:rPr>
        <w:t>项目概况</w:t>
      </w:r>
    </w:p>
    <w:p w14:paraId="1DE22DEA">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zh-CN" w:eastAsia="zh-CN" w:bidi="ar-SA"/>
        </w:rPr>
        <w:t>（一）</w:t>
      </w:r>
      <w:r>
        <w:rPr>
          <w:rFonts w:hint="eastAsia" w:ascii="楷体_GB2312" w:hAnsi="楷体_GB2312" w:eastAsia="楷体_GB2312" w:cs="楷体_GB2312"/>
          <w:color w:val="auto"/>
          <w:kern w:val="2"/>
          <w:sz w:val="32"/>
          <w:szCs w:val="32"/>
          <w:lang w:val="en-US" w:eastAsia="zh-CN" w:bidi="ar-SA"/>
        </w:rPr>
        <w:t>预算安排及分配管理</w:t>
      </w:r>
    </w:p>
    <w:p w14:paraId="1CBDAC03">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en-US" w:eastAsia="zh-CN" w:bidi="ar-SA"/>
        </w:rPr>
        <w:t>按照《四川省药品监督管理局办公室关于开展2024年药品科技计划项目申报工作的通知》，中心联合四川省人民医院联合申报《儿童患者药品不良事件主动监测与评估警示平台的研发与应用》项目，获得省局立项，并于2024年3月</w:t>
      </w:r>
      <w:r>
        <w:rPr>
          <w:rFonts w:hint="default" w:ascii="Times New Roman" w:hAnsi="Times New Roman" w:eastAsia="仿宋_GB2312" w:cs="Times New Roman"/>
          <w:color w:val="auto"/>
          <w:kern w:val="2"/>
          <w:sz w:val="32"/>
          <w:szCs w:val="32"/>
          <w:lang w:val="zh-CN" w:eastAsia="zh-CN" w:bidi="ar-SA"/>
        </w:rPr>
        <w:t>填报《四川省药品监督管理局科技计划项目任务书》。</w:t>
      </w:r>
      <w:r>
        <w:rPr>
          <w:rFonts w:hint="default" w:ascii="Times New Roman" w:hAnsi="Times New Roman" w:eastAsia="仿宋_GB2312" w:cs="Times New Roman"/>
          <w:color w:val="auto"/>
          <w:kern w:val="2"/>
          <w:sz w:val="32"/>
          <w:szCs w:val="32"/>
          <w:lang w:val="en-US" w:eastAsia="zh-CN" w:bidi="ar-SA"/>
        </w:rPr>
        <w:t>项目实施周期为2024年1月至2025年12月，申报项目资金共计20万元，包括出版/文献/信息传播/知识产权事务费、劳务费、专家咨询费、设备费、材料费等</w:t>
      </w:r>
      <w:r>
        <w:rPr>
          <w:rFonts w:hint="default" w:ascii="Times New Roman" w:hAnsi="Times New Roman" w:eastAsia="仿宋_GB2312" w:cs="Times New Roman"/>
          <w:color w:val="auto"/>
          <w:kern w:val="2"/>
          <w:sz w:val="32"/>
          <w:szCs w:val="32"/>
          <w:lang w:val="zh-CN" w:eastAsia="zh-CN" w:bidi="ar-SA"/>
        </w:rPr>
        <w:t>。</w:t>
      </w:r>
    </w:p>
    <w:p w14:paraId="2C8516F9">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en-US" w:eastAsia="zh-CN" w:bidi="ar-SA"/>
        </w:rPr>
        <w:t>经中心总支委审批同意，四川省人民医院负责项目具体实施，项目经费由中心全部划拨四川省人民医院开展研究工作。经中心法务审核、中心领导审批同意，</w:t>
      </w:r>
      <w:r>
        <w:rPr>
          <w:rFonts w:hint="default" w:ascii="Times New Roman" w:hAnsi="Times New Roman" w:eastAsia="仿宋_GB2312" w:cs="Times New Roman"/>
          <w:color w:val="auto"/>
          <w:kern w:val="2"/>
          <w:sz w:val="32"/>
          <w:szCs w:val="32"/>
          <w:lang w:val="en-US" w:eastAsia="zh-CN" w:bidi="ar-SA"/>
        </w:rPr>
        <w:t>与四川省人民医院于2024年4月签订项目合同，对项目的技术内容、研究开放计划、经费划拨和经费使用要求、成果验收、违约责任等进行了约定。合同要求四川省人民医院项目经费应单独建账，专款专用，不可变相划拨科研经费，不可二次转拨，并按照规定的程序和内容调整预算，遵照相关经费的管理办法使用经费。经中心财务、领导审核，于2024年5月、12月分2次（每次10万元）将项目经费全额拨付给四川省人民医院用于开展工作。经评价，项目资金申报和安排</w:t>
      </w:r>
      <w:r>
        <w:rPr>
          <w:rFonts w:hint="default" w:ascii="Times New Roman" w:hAnsi="Times New Roman" w:eastAsia="仿宋_GB2312" w:cs="Times New Roman"/>
          <w:color w:val="auto"/>
          <w:kern w:val="2"/>
          <w:sz w:val="32"/>
          <w:szCs w:val="32"/>
          <w:lang w:val="zh-CN" w:eastAsia="zh-CN" w:bidi="ar-SA"/>
        </w:rPr>
        <w:t>符合资金管理办法等相关规定。</w:t>
      </w:r>
    </w:p>
    <w:p w14:paraId="13BD0537">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楷体_GB2312" w:hAnsi="楷体_GB2312" w:eastAsia="楷体_GB2312" w:cs="楷体_GB2312"/>
          <w:color w:val="auto"/>
          <w:kern w:val="2"/>
          <w:sz w:val="32"/>
          <w:szCs w:val="32"/>
          <w:lang w:val="zh-CN" w:eastAsia="zh-CN" w:bidi="ar-SA"/>
        </w:rPr>
      </w:pPr>
      <w:r>
        <w:rPr>
          <w:rFonts w:hint="eastAsia" w:ascii="楷体_GB2312" w:hAnsi="楷体_GB2312" w:eastAsia="楷体_GB2312" w:cs="楷体_GB2312"/>
          <w:color w:val="auto"/>
          <w:kern w:val="2"/>
          <w:sz w:val="32"/>
          <w:szCs w:val="32"/>
          <w:lang w:val="zh-CN" w:eastAsia="zh-CN" w:bidi="ar-SA"/>
        </w:rPr>
        <w:t>（</w:t>
      </w:r>
      <w:r>
        <w:rPr>
          <w:rFonts w:hint="eastAsia" w:ascii="楷体_GB2312" w:hAnsi="楷体_GB2312" w:eastAsia="楷体_GB2312" w:cs="楷体_GB2312"/>
          <w:color w:val="auto"/>
          <w:kern w:val="2"/>
          <w:sz w:val="32"/>
          <w:szCs w:val="32"/>
          <w:lang w:val="en-US" w:eastAsia="zh-CN" w:bidi="ar-SA"/>
        </w:rPr>
        <w:t>二</w:t>
      </w:r>
      <w:r>
        <w:rPr>
          <w:rFonts w:hint="eastAsia" w:ascii="楷体_GB2312" w:hAnsi="楷体_GB2312" w:eastAsia="楷体_GB2312" w:cs="楷体_GB2312"/>
          <w:color w:val="auto"/>
          <w:kern w:val="2"/>
          <w:sz w:val="32"/>
          <w:szCs w:val="32"/>
          <w:lang w:val="zh-CN" w:eastAsia="zh-CN" w:bidi="ar-SA"/>
        </w:rPr>
        <w:t>）项目绩效目标</w:t>
      </w:r>
    </w:p>
    <w:p w14:paraId="4D4A94C4">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根据《四川药品监督管理局科技计划项目任务书》，《儿童患者药品不良事件主动监测与评估警示平台的研发与应用》项目考核指标如下。</w:t>
      </w:r>
    </w:p>
    <w:p w14:paraId="539F7FCF">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项目整体目标：</w:t>
      </w:r>
      <w:r>
        <w:rPr>
          <w:rFonts w:hint="default" w:ascii="Times New Roman" w:hAnsi="Times New Roman" w:eastAsia="仿宋_GB2312" w:cs="Times New Roman"/>
          <w:color w:val="auto"/>
          <w:kern w:val="2"/>
          <w:sz w:val="32"/>
          <w:szCs w:val="32"/>
          <w:lang w:val="en-US" w:eastAsia="zh-CN" w:bidi="ar-SA"/>
        </w:rPr>
        <w:t>构建儿童患者药品不良事件主动监测与评估警示平台，实现用药风险实时预警与干预，降低儿童不良事件（ADE）发生率。</w:t>
      </w:r>
    </w:p>
    <w:p w14:paraId="3F3CBBF5">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项目具体绩效目标：</w:t>
      </w:r>
    </w:p>
    <w:p w14:paraId="196E0DC0">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1.数量指标：论文2</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3篇，专利1</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2项。</w:t>
      </w:r>
    </w:p>
    <w:p w14:paraId="6F34C41B">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2.技术指标：</w:t>
      </w:r>
    </w:p>
    <w:p w14:paraId="308085F6">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（1）儿童患者GTT与PIM标准的建立与优化；</w:t>
      </w:r>
    </w:p>
    <w:p w14:paraId="7E9D7EB8">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（2）既往数据库的优化；</w:t>
      </w:r>
    </w:p>
    <w:p w14:paraId="3CF9ACC1">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（3）预测模型的构建</w:t>
      </w:r>
      <w:r>
        <w:rPr>
          <w:rFonts w:hint="eastAsia" w:ascii="Times New Roman" w:hAnsi="Times New Roman" w:eastAsia="仿宋_GB2312" w:cs="Times New Roman"/>
          <w:color w:val="auto"/>
          <w:kern w:val="2"/>
          <w:sz w:val="32"/>
          <w:szCs w:val="32"/>
          <w:lang w:val="en-US" w:eastAsia="zh-CN" w:bidi="ar-SA"/>
        </w:rPr>
        <w:t>；</w:t>
      </w:r>
    </w:p>
    <w:p w14:paraId="7B547DFC">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（4）软件系统的平台建设；</w:t>
      </w:r>
    </w:p>
    <w:p w14:paraId="00897CE6">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（5）主动监测触发点的选取及依据；</w:t>
      </w:r>
    </w:p>
    <w:p w14:paraId="2532B8AE">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（6）平台数据的获取：如血药浓度监测数据、基因检测数据、各种检验指标、影像学指标；</w:t>
      </w:r>
    </w:p>
    <w:p w14:paraId="3121E01F">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（7）电子病例系统中与ADE相关的关键词字段的抓取，并形成触发点（难点）。</w:t>
      </w:r>
    </w:p>
    <w:p w14:paraId="4FBB4956">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3.应用指标</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应用对象</w:t>
      </w:r>
      <w:r>
        <w:rPr>
          <w:rFonts w:hint="eastAsia" w:ascii="Times New Roman" w:hAnsi="Times New Roman" w:eastAsia="仿宋_GB2312" w:cs="Times New Roman"/>
          <w:color w:val="auto"/>
          <w:kern w:val="2"/>
          <w:sz w:val="32"/>
          <w:szCs w:val="32"/>
          <w:lang w:val="en-US" w:eastAsia="zh-CN" w:bidi="ar-SA"/>
        </w:rPr>
        <w:t>为</w:t>
      </w:r>
      <w:r>
        <w:rPr>
          <w:rFonts w:hint="default" w:ascii="Times New Roman" w:hAnsi="Times New Roman" w:eastAsia="仿宋_GB2312" w:cs="Times New Roman"/>
          <w:color w:val="auto"/>
          <w:kern w:val="2"/>
          <w:sz w:val="32"/>
          <w:szCs w:val="32"/>
          <w:lang w:val="en-US" w:eastAsia="zh-CN" w:bidi="ar-SA"/>
        </w:rPr>
        <w:t>四川省内医疗机构</w:t>
      </w:r>
      <w:r>
        <w:rPr>
          <w:rFonts w:hint="eastAsia" w:ascii="Times New Roman" w:hAnsi="Times New Roman" w:eastAsia="仿宋_GB2312" w:cs="Times New Roman"/>
          <w:color w:val="auto"/>
          <w:kern w:val="2"/>
          <w:sz w:val="32"/>
          <w:szCs w:val="32"/>
          <w:lang w:val="en-US" w:eastAsia="zh-CN" w:bidi="ar-SA"/>
        </w:rPr>
        <w:t>和</w:t>
      </w:r>
      <w:r>
        <w:rPr>
          <w:rFonts w:hint="default" w:ascii="Times New Roman" w:hAnsi="Times New Roman" w:eastAsia="仿宋_GB2312" w:cs="Times New Roman"/>
          <w:color w:val="auto"/>
          <w:kern w:val="2"/>
          <w:sz w:val="32"/>
          <w:szCs w:val="32"/>
          <w:lang w:val="en-US" w:eastAsia="zh-CN" w:bidi="ar-SA"/>
        </w:rPr>
        <w:t>中心。应用范围为14岁以下儿童住院患者。应用效果：主动发现并预警儿童患者使用药品后可能出现的ADE，对还没有形成的ADE进行临床干预，提醒医生和药师儿童患者可能存在的潜在用药风险，尽可能的降低药物风险事件的发生率。</w:t>
      </w:r>
    </w:p>
    <w:p w14:paraId="353E3816">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因本项目实施周期为2年，计划2025年完成全部绩效目标，故按年度设置了考核目标内容，其中2024年度完成以下目标：</w:t>
      </w:r>
    </w:p>
    <w:p w14:paraId="451D10AF">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1.对儿童GTT和PIM标准进行优化；</w:t>
      </w:r>
    </w:p>
    <w:p w14:paraId="2BFED61A">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2.利用中心历年数据进行回顾性分析；</w:t>
      </w:r>
    </w:p>
    <w:p w14:paraId="15270A05">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3.对四川省人民医院儿童ADE发生及其监测现状调研。</w:t>
      </w:r>
    </w:p>
    <w:p w14:paraId="00414C48">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楷体_GB2312" w:hAnsi="楷体_GB2312" w:eastAsia="楷体_GB2312" w:cs="楷体_GB2312"/>
          <w:color w:val="auto"/>
          <w:kern w:val="2"/>
          <w:sz w:val="32"/>
          <w:szCs w:val="32"/>
          <w:lang w:val="zh-CN" w:eastAsia="zh-CN" w:bidi="ar-SA"/>
        </w:rPr>
      </w:pPr>
      <w:r>
        <w:rPr>
          <w:rFonts w:hint="eastAsia" w:ascii="楷体_GB2312" w:hAnsi="楷体_GB2312" w:eastAsia="楷体_GB2312" w:cs="楷体_GB2312"/>
          <w:color w:val="auto"/>
          <w:kern w:val="2"/>
          <w:sz w:val="32"/>
          <w:szCs w:val="32"/>
          <w:lang w:val="zh-CN" w:eastAsia="zh-CN" w:bidi="ar-SA"/>
        </w:rPr>
        <w:t>（三）项目资金申报相符性</w:t>
      </w:r>
    </w:p>
    <w:p w14:paraId="2B7418C0">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en-US" w:eastAsia="zh-CN" w:bidi="ar-SA"/>
        </w:rPr>
        <w:t>1.申报内容与实施内容相符性：项目</w:t>
      </w:r>
      <w:r>
        <w:rPr>
          <w:rFonts w:hint="default" w:ascii="Times New Roman" w:hAnsi="Times New Roman" w:eastAsia="仿宋_GB2312" w:cs="Times New Roman"/>
          <w:color w:val="auto"/>
          <w:kern w:val="2"/>
          <w:sz w:val="32"/>
          <w:szCs w:val="32"/>
          <w:lang w:val="zh-CN" w:eastAsia="zh-CN" w:bidi="ar-SA"/>
        </w:rPr>
        <w:t>已按计划完成儿童GTT触发器优化（新增儿童特异性触发点8项）、PIM标准本土化验证（适配国内儿童用药目录）</w:t>
      </w:r>
      <w:r>
        <w:rPr>
          <w:rFonts w:hint="default" w:ascii="Times New Roman" w:hAnsi="Times New Roman" w:eastAsia="仿宋_GB2312" w:cs="Times New Roman"/>
          <w:color w:val="auto"/>
          <w:kern w:val="2"/>
          <w:sz w:val="32"/>
          <w:szCs w:val="32"/>
          <w:lang w:val="en-US" w:eastAsia="zh-CN" w:bidi="ar-SA"/>
        </w:rPr>
        <w:t>和</w:t>
      </w:r>
      <w:r>
        <w:rPr>
          <w:rFonts w:hint="default" w:ascii="Times New Roman" w:hAnsi="Times New Roman" w:eastAsia="仿宋_GB2312" w:cs="Times New Roman"/>
          <w:color w:val="auto"/>
          <w:kern w:val="2"/>
          <w:sz w:val="32"/>
          <w:szCs w:val="32"/>
          <w:lang w:val="zh-CN" w:eastAsia="zh-CN" w:bidi="ar-SA"/>
        </w:rPr>
        <w:t>软件平台</w:t>
      </w:r>
      <w:r>
        <w:rPr>
          <w:rFonts w:hint="default" w:ascii="Times New Roman" w:hAnsi="Times New Roman" w:eastAsia="仿宋_GB2312" w:cs="Times New Roman"/>
          <w:color w:val="auto"/>
          <w:kern w:val="2"/>
          <w:sz w:val="32"/>
          <w:szCs w:val="32"/>
          <w:lang w:val="en-US" w:eastAsia="zh-CN" w:bidi="ar-SA"/>
        </w:rPr>
        <w:t>建设前期数据准备等</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en-US" w:eastAsia="zh-CN" w:bidi="ar-SA"/>
        </w:rPr>
        <w:t>项目实施内容与申报内容相符</w:t>
      </w:r>
      <w:r>
        <w:rPr>
          <w:rFonts w:hint="default" w:ascii="Times New Roman" w:hAnsi="Times New Roman" w:eastAsia="仿宋_GB2312" w:cs="Times New Roman"/>
          <w:color w:val="auto"/>
          <w:kern w:val="2"/>
          <w:sz w:val="32"/>
          <w:szCs w:val="32"/>
          <w:lang w:val="zh-CN" w:eastAsia="zh-CN" w:bidi="ar-SA"/>
        </w:rPr>
        <w:t>。</w:t>
      </w:r>
    </w:p>
    <w:p w14:paraId="7243347C">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en-US" w:eastAsia="zh-CN" w:bidi="ar-SA"/>
        </w:rPr>
        <w:t>2.申报目标合理性：</w:t>
      </w:r>
      <w:r>
        <w:rPr>
          <w:rFonts w:hint="eastAsia" w:ascii="Times New Roman" w:hAnsi="Times New Roman" w:eastAsia="仿宋_GB2312" w:cs="Times New Roman"/>
          <w:color w:val="auto"/>
          <w:kern w:val="2"/>
          <w:sz w:val="32"/>
          <w:szCs w:val="32"/>
          <w:lang w:val="en-US" w:eastAsia="zh-CN" w:bidi="ar-SA"/>
        </w:rPr>
        <w:t>项目通过</w:t>
      </w:r>
      <w:r>
        <w:rPr>
          <w:rFonts w:hint="eastAsia" w:ascii="Times New Roman" w:hAnsi="Times New Roman" w:eastAsia="仿宋_GB2312" w:cs="Times New Roman"/>
          <w:color w:val="auto"/>
          <w:kern w:val="2"/>
          <w:sz w:val="32"/>
          <w:szCs w:val="32"/>
          <w:lang w:val="zh-CN" w:eastAsia="zh-CN" w:bidi="ar-SA"/>
        </w:rPr>
        <w:t>试点数据显示，软件平台可有效识别传统监测模式遗漏的</w:t>
      </w:r>
      <w:r>
        <w:rPr>
          <w:rFonts w:hint="eastAsia" w:ascii="Times New Roman" w:hAnsi="Times New Roman" w:eastAsia="仿宋_GB2312" w:cs="Times New Roman"/>
          <w:color w:val="auto"/>
          <w:kern w:val="2"/>
          <w:sz w:val="32"/>
          <w:szCs w:val="32"/>
          <w:lang w:val="en-US" w:eastAsia="zh-CN" w:bidi="ar-SA"/>
        </w:rPr>
        <w:t>不良反应/事件</w:t>
      </w:r>
      <w:r>
        <w:rPr>
          <w:rFonts w:hint="eastAsia" w:ascii="Times New Roman" w:hAnsi="Times New Roman" w:eastAsia="仿宋_GB2312" w:cs="Times New Roman"/>
          <w:color w:val="auto"/>
          <w:kern w:val="2"/>
          <w:sz w:val="32"/>
          <w:szCs w:val="32"/>
          <w:lang w:val="zh-CN" w:eastAsia="zh-CN" w:bidi="ar-SA"/>
        </w:rPr>
        <w:t>信号（如药物相互作用导致的肝功能异常），符合监管需求。</w:t>
      </w:r>
    </w:p>
    <w:p w14:paraId="48B54597">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outlineLvl w:val="9"/>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二、评价实施</w:t>
      </w:r>
    </w:p>
    <w:p w14:paraId="4258F0E3">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eastAsia" w:ascii="楷体_GB2312" w:hAnsi="楷体_GB2312" w:eastAsia="楷体_GB2312" w:cs="楷体_GB2312"/>
          <w:color w:val="auto"/>
          <w:kern w:val="2"/>
          <w:sz w:val="32"/>
          <w:szCs w:val="32"/>
          <w:lang w:val="zh-CN" w:eastAsia="zh-CN" w:bidi="ar-SA"/>
        </w:rPr>
        <w:t>（一）评价目的。</w:t>
      </w:r>
      <w:r>
        <w:rPr>
          <w:rFonts w:hint="eastAsia" w:ascii="Times New Roman" w:hAnsi="Times New Roman" w:eastAsia="仿宋_GB2312" w:cs="Times New Roman"/>
          <w:color w:val="auto"/>
          <w:kern w:val="2"/>
          <w:sz w:val="32"/>
          <w:szCs w:val="32"/>
          <w:lang w:val="en-US" w:eastAsia="zh-CN" w:bidi="ar-SA"/>
        </w:rPr>
        <w:t>通过自评检验资金使用效益，优化平台功能，推动儿童用药安全监管从“被动处置”向“主动防控”转型。</w:t>
      </w:r>
    </w:p>
    <w:p w14:paraId="793649DE">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楷体_GB2312" w:hAnsi="楷体_GB2312" w:eastAsia="楷体_GB2312" w:cs="楷体_GB2312"/>
          <w:color w:val="auto"/>
          <w:kern w:val="2"/>
          <w:sz w:val="32"/>
          <w:szCs w:val="32"/>
          <w:lang w:val="zh-CN" w:eastAsia="zh-CN" w:bidi="ar-SA"/>
        </w:rPr>
        <w:t>（二）预设问题及评价重点。</w:t>
      </w:r>
      <w:r>
        <w:rPr>
          <w:rFonts w:hint="eastAsia" w:ascii="Times New Roman" w:hAnsi="Times New Roman" w:eastAsia="仿宋_GB2312" w:cs="Times New Roman"/>
          <w:color w:val="auto"/>
          <w:kern w:val="2"/>
          <w:sz w:val="32"/>
          <w:szCs w:val="32"/>
          <w:lang w:val="en-US" w:eastAsia="zh-CN" w:bidi="ar-SA"/>
        </w:rPr>
        <w:t>按照绩效评价指标体系，对资金支出使用全过程及其实施效果进行综合评价和判断。</w:t>
      </w:r>
    </w:p>
    <w:p w14:paraId="492F57AB">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zh-CN" w:eastAsia="zh-CN" w:bidi="ar-SA"/>
        </w:rPr>
      </w:pPr>
      <w:r>
        <w:rPr>
          <w:rFonts w:hint="eastAsia" w:ascii="楷体_GB2312" w:hAnsi="楷体_GB2312" w:eastAsia="楷体_GB2312" w:cs="楷体_GB2312"/>
          <w:color w:val="auto"/>
          <w:kern w:val="2"/>
          <w:sz w:val="32"/>
          <w:szCs w:val="32"/>
          <w:lang w:val="zh-CN" w:eastAsia="zh-CN" w:bidi="ar-SA"/>
        </w:rPr>
        <w:t>（三）评价选点。</w:t>
      </w:r>
      <w:r>
        <w:rPr>
          <w:rFonts w:hint="eastAsia" w:ascii="Times New Roman" w:hAnsi="Times New Roman" w:eastAsia="仿宋_GB2312" w:cs="Times New Roman"/>
          <w:color w:val="auto"/>
          <w:kern w:val="2"/>
          <w:sz w:val="32"/>
          <w:szCs w:val="32"/>
          <w:lang w:val="en-US" w:eastAsia="zh-CN" w:bidi="ar-SA"/>
        </w:rPr>
        <w:t>对</w:t>
      </w:r>
      <w:r>
        <w:rPr>
          <w:rFonts w:hint="eastAsia" w:ascii="Times New Roman" w:hAnsi="Times New Roman" w:eastAsia="仿宋_GB2312" w:cs="Times New Roman"/>
          <w:color w:val="auto"/>
          <w:kern w:val="2"/>
          <w:sz w:val="32"/>
          <w:szCs w:val="32"/>
          <w:lang w:val="zh-CN" w:eastAsia="zh-CN" w:bidi="ar-SA"/>
        </w:rPr>
        <w:t>《儿童患者药品不良事件主动监测与评估警示平台的研发与应用》</w:t>
      </w:r>
      <w:r>
        <w:rPr>
          <w:rFonts w:hint="eastAsia" w:ascii="Times New Roman" w:hAnsi="Times New Roman" w:eastAsia="仿宋_GB2312" w:cs="Times New Roman"/>
          <w:color w:val="auto"/>
          <w:kern w:val="2"/>
          <w:sz w:val="32"/>
          <w:szCs w:val="32"/>
          <w:lang w:val="en-US" w:eastAsia="zh-CN" w:bidi="ar-SA"/>
        </w:rPr>
        <w:t>项目资金绩效情况进行自评</w:t>
      </w:r>
      <w:r>
        <w:rPr>
          <w:rFonts w:hint="eastAsia" w:ascii="Times New Roman" w:hAnsi="Times New Roman" w:eastAsia="仿宋_GB2312" w:cs="Times New Roman"/>
          <w:color w:val="auto"/>
          <w:kern w:val="2"/>
          <w:sz w:val="32"/>
          <w:szCs w:val="32"/>
          <w:lang w:val="zh-CN" w:eastAsia="zh-CN" w:bidi="ar-SA"/>
        </w:rPr>
        <w:t>。</w:t>
      </w:r>
    </w:p>
    <w:p w14:paraId="5FE9F751">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楷体_GB2312" w:hAnsi="楷体_GB2312" w:eastAsia="楷体_GB2312" w:cs="楷体_GB2312"/>
          <w:color w:val="auto"/>
          <w:kern w:val="2"/>
          <w:sz w:val="32"/>
          <w:szCs w:val="32"/>
          <w:lang w:val="zh-CN" w:eastAsia="zh-CN" w:bidi="ar-SA"/>
        </w:rPr>
        <w:t>（四）评价方法。</w:t>
      </w:r>
      <w:r>
        <w:rPr>
          <w:rFonts w:hint="eastAsia" w:ascii="Times New Roman" w:hAnsi="Times New Roman" w:eastAsia="仿宋_GB2312" w:cs="Times New Roman"/>
          <w:color w:val="auto"/>
          <w:kern w:val="2"/>
          <w:sz w:val="32"/>
          <w:szCs w:val="32"/>
          <w:lang w:val="en-US" w:eastAsia="zh-CN" w:bidi="ar-SA"/>
        </w:rPr>
        <w:t>根据项目情况和评价重点，采用单位自评法对《儿童患者药品不良事件主动监测与评估警示平台的研发与应用》项目进行绩效评价。</w:t>
      </w:r>
    </w:p>
    <w:p w14:paraId="0D9BD129">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楷体_GB2312" w:hAnsi="楷体_GB2312" w:eastAsia="楷体_GB2312" w:cs="楷体_GB2312"/>
          <w:color w:val="auto"/>
          <w:kern w:val="2"/>
          <w:sz w:val="32"/>
          <w:szCs w:val="32"/>
          <w:lang w:val="zh-CN" w:eastAsia="zh-CN" w:bidi="ar-SA"/>
        </w:rPr>
        <w:t>（五）评价组织。</w:t>
      </w:r>
      <w:r>
        <w:rPr>
          <w:rFonts w:hint="eastAsia" w:ascii="Times New Roman" w:hAnsi="Times New Roman" w:eastAsia="仿宋_GB2312" w:cs="Times New Roman"/>
          <w:color w:val="auto"/>
          <w:kern w:val="2"/>
          <w:sz w:val="32"/>
          <w:szCs w:val="32"/>
          <w:lang w:val="en-US" w:eastAsia="zh-CN" w:bidi="ar-SA"/>
        </w:rPr>
        <w:t>评价组人员由中心办公室和不良反应监测科人员构成，共同完成项目评价工作，办公室主要负责资金使用管理评价，不良反应监测科主要负责项目执行和成果完成情况评价。</w:t>
      </w:r>
    </w:p>
    <w:p w14:paraId="59A998A7">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outlineLvl w:val="9"/>
        <w:rPr>
          <w:rFonts w:hint="default" w:ascii="黑体" w:hAnsi="黑体" w:eastAsia="黑体" w:cs="黑体"/>
          <w:color w:val="auto"/>
          <w:kern w:val="2"/>
          <w:sz w:val="32"/>
          <w:szCs w:val="32"/>
          <w:lang w:val="zh-CN" w:eastAsia="zh-CN" w:bidi="ar-SA"/>
        </w:rPr>
      </w:pPr>
      <w:r>
        <w:rPr>
          <w:rFonts w:hint="eastAsia" w:ascii="黑体" w:hAnsi="黑体" w:eastAsia="黑体" w:cs="黑体"/>
          <w:color w:val="auto"/>
          <w:kern w:val="2"/>
          <w:sz w:val="32"/>
          <w:szCs w:val="32"/>
          <w:lang w:val="en-US" w:eastAsia="zh-CN" w:bidi="ar-SA"/>
        </w:rPr>
        <w:t>三、绩效分析</w:t>
      </w:r>
      <w:r>
        <w:rPr>
          <w:rFonts w:hint="eastAsia" w:ascii="黑体" w:hAnsi="黑体" w:eastAsia="黑体" w:cs="黑体"/>
          <w:color w:val="auto"/>
          <w:kern w:val="2"/>
          <w:sz w:val="32"/>
          <w:szCs w:val="32"/>
          <w:lang w:val="zh-CN" w:eastAsia="zh-CN" w:bidi="ar-SA"/>
        </w:rPr>
        <w:tab/>
      </w:r>
    </w:p>
    <w:p w14:paraId="66E8E66A">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根据</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预算绩效评价指标体系</w:t>
      </w:r>
      <w:r>
        <w:rPr>
          <w:rFonts w:hint="eastAsia" w:ascii="Times New Roman" w:hAnsi="Times New Roman" w:eastAsia="仿宋_GB2312" w:cs="Times New Roman"/>
          <w:color w:val="auto"/>
          <w:kern w:val="2"/>
          <w:sz w:val="32"/>
          <w:szCs w:val="32"/>
          <w:lang w:val="zh-CN" w:eastAsia="zh-CN" w:bidi="ar-SA"/>
        </w:rPr>
        <w:t>“通用指标”“专用指标”“个性指标”</w:t>
      </w:r>
      <w:r>
        <w:rPr>
          <w:rFonts w:hint="default" w:ascii="Times New Roman" w:hAnsi="Times New Roman" w:eastAsia="仿宋_GB2312" w:cs="Times New Roman"/>
          <w:color w:val="auto"/>
          <w:kern w:val="2"/>
          <w:sz w:val="32"/>
          <w:szCs w:val="32"/>
          <w:lang w:val="zh-CN" w:eastAsia="zh-CN" w:bidi="ar-SA"/>
        </w:rPr>
        <w:t>涉及</w:t>
      </w:r>
      <w:r>
        <w:rPr>
          <w:rFonts w:hint="eastAsia" w:ascii="Times New Roman" w:hAnsi="Times New Roman" w:eastAsia="仿宋_GB2312" w:cs="Times New Roman"/>
          <w:color w:val="auto"/>
          <w:kern w:val="2"/>
          <w:sz w:val="32"/>
          <w:szCs w:val="32"/>
          <w:lang w:val="zh-CN" w:eastAsia="zh-CN" w:bidi="ar-SA"/>
        </w:rPr>
        <w:t>二、三级</w:t>
      </w:r>
      <w:r>
        <w:rPr>
          <w:rFonts w:hint="default" w:ascii="Times New Roman" w:hAnsi="Times New Roman" w:eastAsia="仿宋_GB2312" w:cs="Times New Roman"/>
          <w:color w:val="auto"/>
          <w:kern w:val="2"/>
          <w:sz w:val="32"/>
          <w:szCs w:val="32"/>
          <w:lang w:val="zh-CN" w:eastAsia="zh-CN" w:bidi="ar-SA"/>
        </w:rPr>
        <w:t>指标进行</w:t>
      </w:r>
      <w:r>
        <w:rPr>
          <w:rFonts w:hint="eastAsia" w:ascii="Times New Roman" w:hAnsi="Times New Roman" w:eastAsia="仿宋_GB2312" w:cs="Times New Roman"/>
          <w:color w:val="auto"/>
          <w:kern w:val="2"/>
          <w:sz w:val="32"/>
          <w:szCs w:val="32"/>
          <w:lang w:val="zh-CN" w:eastAsia="zh-CN" w:bidi="ar-SA"/>
        </w:rPr>
        <w:t>逐项</w:t>
      </w:r>
      <w:r>
        <w:rPr>
          <w:rFonts w:hint="default" w:ascii="Times New Roman" w:hAnsi="Times New Roman" w:eastAsia="仿宋_GB2312" w:cs="Times New Roman"/>
          <w:color w:val="auto"/>
          <w:kern w:val="2"/>
          <w:sz w:val="32"/>
          <w:szCs w:val="32"/>
          <w:lang w:val="zh-CN" w:eastAsia="zh-CN" w:bidi="ar-SA"/>
        </w:rPr>
        <w:t>绩效分析</w:t>
      </w:r>
      <w:r>
        <w:rPr>
          <w:rFonts w:hint="eastAsia" w:ascii="Times New Roman" w:hAnsi="Times New Roman" w:eastAsia="仿宋_GB2312" w:cs="Times New Roman"/>
          <w:color w:val="auto"/>
          <w:kern w:val="2"/>
          <w:sz w:val="32"/>
          <w:szCs w:val="32"/>
          <w:lang w:val="zh-CN" w:eastAsia="zh-CN" w:bidi="ar-SA"/>
        </w:rPr>
        <w:t>并评分</w:t>
      </w:r>
      <w:r>
        <w:rPr>
          <w:rFonts w:hint="eastAsia" w:ascii="Times New Roman" w:hAnsi="Times New Roman" w:eastAsia="仿宋_GB2312" w:cs="Times New Roman"/>
          <w:color w:val="auto"/>
          <w:kern w:val="2"/>
          <w:sz w:val="32"/>
          <w:szCs w:val="32"/>
          <w:lang w:val="en-US" w:eastAsia="zh-CN" w:bidi="ar-SA"/>
        </w:rPr>
        <w:t>。</w:t>
      </w:r>
    </w:p>
    <w:p w14:paraId="6F87722F">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zh-CN" w:eastAsia="zh-CN" w:bidi="ar-SA"/>
        </w:rPr>
        <w:t>（一）</w:t>
      </w:r>
      <w:r>
        <w:rPr>
          <w:rFonts w:hint="eastAsia" w:ascii="楷体_GB2312" w:hAnsi="楷体_GB2312" w:eastAsia="楷体_GB2312" w:cs="楷体_GB2312"/>
          <w:color w:val="auto"/>
          <w:kern w:val="2"/>
          <w:sz w:val="32"/>
          <w:szCs w:val="32"/>
          <w:lang w:val="en-US" w:eastAsia="zh-CN" w:bidi="ar-SA"/>
        </w:rPr>
        <w:t>通用指标</w:t>
      </w:r>
      <w:r>
        <w:rPr>
          <w:rFonts w:hint="default" w:ascii="楷体_GB2312" w:hAnsi="楷体_GB2312" w:eastAsia="楷体_GB2312" w:cs="楷体_GB2312"/>
          <w:color w:val="auto"/>
          <w:kern w:val="2"/>
          <w:sz w:val="32"/>
          <w:szCs w:val="32"/>
          <w:lang w:val="zh-CN" w:eastAsia="zh-CN" w:bidi="ar-SA"/>
        </w:rPr>
        <w:t>绩效分析</w:t>
      </w:r>
    </w:p>
    <w:p w14:paraId="605F548C">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1.项目决策</w:t>
      </w:r>
    </w:p>
    <w:p w14:paraId="64508450">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w:t>
      </w:r>
      <w:r>
        <w:rPr>
          <w:rFonts w:hint="eastAsia" w:ascii="Times New Roman" w:hAnsi="Times New Roman" w:eastAsia="仿宋_GB2312" w:cs="Times New Roman"/>
          <w:color w:val="auto"/>
          <w:kern w:val="2"/>
          <w:sz w:val="32"/>
          <w:szCs w:val="32"/>
          <w:lang w:val="en-US" w:eastAsia="zh-CN" w:bidi="ar-SA"/>
        </w:rPr>
        <w:t>决策程序：</w:t>
      </w:r>
      <w:r>
        <w:rPr>
          <w:rFonts w:hint="default" w:ascii="Times New Roman" w:hAnsi="Times New Roman" w:eastAsia="仿宋_GB2312" w:cs="Times New Roman"/>
          <w:color w:val="auto"/>
          <w:kern w:val="2"/>
          <w:sz w:val="32"/>
          <w:szCs w:val="32"/>
          <w:lang w:val="en-US" w:eastAsia="zh-CN" w:bidi="ar-SA"/>
        </w:rPr>
        <w:t>项目设立、调整延续等方面符合资金管理基本规范和决策程序要求，得6分。</w:t>
      </w:r>
    </w:p>
    <w:p w14:paraId="26DB26EF">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规划论证：国务院办公厅发布的《关于全面深化药品医疗器械监管改革促进医药产业高质量发展的意见》明确提出强化药物警戒体系建设，要求各省市结合自身产业特点推进相关工作。儿童健康是全民健康的基础，儿童药物警戒工作通过保障用药安全、推动医药产业高质量发展，助力实现</w:t>
      </w:r>
      <w:r>
        <w:rPr>
          <w:rFonts w:hint="eastAsia" w:ascii="Times New Roman" w:hAnsi="Times New Roman" w:eastAsia="仿宋_GB2312" w:cs="Times New Roman"/>
          <w:color w:val="auto"/>
          <w:kern w:val="2"/>
          <w:sz w:val="32"/>
          <w:szCs w:val="32"/>
          <w:lang w:val="en-US" w:eastAsia="zh-CN" w:bidi="ar-SA"/>
        </w:rPr>
        <w:t>“健康中国</w:t>
      </w:r>
      <w:r>
        <w:rPr>
          <w:rFonts w:hint="default" w:ascii="Times New Roman" w:hAnsi="Times New Roman" w:eastAsia="仿宋_GB2312" w:cs="Times New Roman"/>
          <w:color w:val="auto"/>
          <w:kern w:val="2"/>
          <w:sz w:val="32"/>
          <w:szCs w:val="32"/>
          <w:lang w:val="en-US" w:eastAsia="zh-CN" w:bidi="ar-SA"/>
        </w:rPr>
        <w:t>2030</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目标。本项目规划论证符合中央、省委省政府有关决策部署安排，项目绩效目标设置科学合理，得6分，具体得分情况如下</w:t>
      </w:r>
      <w:r>
        <w:rPr>
          <w:rFonts w:hint="eastAsia" w:ascii="Times New Roman" w:hAnsi="Times New Roman" w:eastAsia="仿宋_GB2312" w:cs="Times New Roman"/>
          <w:color w:val="auto"/>
          <w:kern w:val="2"/>
          <w:sz w:val="32"/>
          <w:szCs w:val="32"/>
          <w:lang w:val="en-US" w:eastAsia="zh-CN" w:bidi="ar-SA"/>
        </w:rPr>
        <w:t>。</w:t>
      </w:r>
    </w:p>
    <w:p w14:paraId="706E960E">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项目符合中央、省委省政府有关决策部署安排，得1分；充分评估论证项目立项必要性、前瞻性、合理性和可行性，得3分</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项目总体绩效目标设置合理性的偏离度</w:t>
      </w:r>
      <w:r>
        <w:rPr>
          <w:rFonts w:hint="eastAsia" w:ascii="仿宋_GB2312" w:hAnsi="仿宋_GB2312" w:eastAsia="仿宋_GB2312" w:cs="仿宋_GB2312"/>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15%，得2分；</w:t>
      </w:r>
    </w:p>
    <w:p w14:paraId="3F0CEB94">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（3）项目投向：项目资金与项目总体规划、相关行业事业发展相匹配，聚焦儿童药物警戒，得6分，具体得分情况如下。</w:t>
      </w:r>
    </w:p>
    <w:p w14:paraId="0618CC92">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本项目属于政府支持范围，且符合财政事权支出责任划分规定，得1分；资金投向与项目总体规划、相关行业事业发展相匹配，得1分；聚焦重大任务、重点领域、重点环节和重点项目，体现“集中财力办大事”原则，避免“撒胡椒面”，得3分；未与其他同类项目或部门内部相关项目交叉重复，得1分。</w:t>
      </w:r>
    </w:p>
    <w:p w14:paraId="4512944A">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2.项目管理</w:t>
      </w:r>
    </w:p>
    <w:p w14:paraId="333E1FB6">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（1）制度办法：中心资金管理办法等管理制度体系健全完善，不存在管理制度缺失、管理办法过期情况，得2分。</w:t>
      </w:r>
    </w:p>
    <w:p w14:paraId="5A0C79A0">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（2）分配管理：不适用。</w:t>
      </w:r>
    </w:p>
    <w:p w14:paraId="48ABEB05">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（3）绩效监管：不适用。</w:t>
      </w:r>
    </w:p>
    <w:p w14:paraId="3A50002A">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3.项目实施</w:t>
      </w:r>
    </w:p>
    <w:p w14:paraId="1E058085">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（1）预算</w:t>
      </w:r>
      <w:r>
        <w:rPr>
          <w:rFonts w:hint="eastAsia" w:ascii="Times New Roman" w:hAnsi="Times New Roman" w:eastAsia="仿宋_GB2312" w:cs="Times New Roman"/>
          <w:color w:val="auto"/>
          <w:kern w:val="2"/>
          <w:sz w:val="32"/>
          <w:szCs w:val="32"/>
          <w:lang w:val="zh-CN" w:eastAsia="zh-CN" w:bidi="ar-SA"/>
        </w:rPr>
        <w:t>执行</w:t>
      </w:r>
      <w:r>
        <w:rPr>
          <w:rFonts w:hint="eastAsia" w:ascii="Times New Roman" w:hAnsi="Times New Roman" w:eastAsia="仿宋_GB2312" w:cs="Times New Roman"/>
          <w:color w:val="auto"/>
          <w:kern w:val="2"/>
          <w:sz w:val="32"/>
          <w:szCs w:val="32"/>
          <w:lang w:val="en-US" w:eastAsia="zh-CN" w:bidi="ar-SA"/>
        </w:rPr>
        <w:t>：中心已于2024年5月、12月分2次将项目经费全额拨付给四川省人民医院用于开展项目研究工作，单位资金使用率100%，得6分。</w:t>
      </w:r>
    </w:p>
    <w:p w14:paraId="739B1832">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资金使用：本项目资金使用符合国家财经法规、财务管理制度及有关专项资金管理制度办法规定和审批程序，不存在超范围、超标准、超进度使用专项资金，不存在资金损失浪费、长期沉淀、截留、挤占、挪用、虚列支出等情况，项目实施遵守相关法律法规，得3分。</w:t>
      </w:r>
    </w:p>
    <w:p w14:paraId="7539FF38">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4.项目结果</w:t>
      </w:r>
    </w:p>
    <w:p w14:paraId="7DCF9CFE">
      <w:pPr>
        <w:keepNext w:val="0"/>
        <w:keepLines w:val="0"/>
        <w:pageBreakBefore w:val="0"/>
        <w:widowControl w:val="0"/>
        <w:numPr>
          <w:ilvl w:val="0"/>
          <w:numId w:val="5"/>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目标完成：</w:t>
      </w:r>
    </w:p>
    <w:p w14:paraId="2013A298">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2024年已按计划完成预期目标，实施结果与绩效目标相匹配，得6分，具体完成情况如下：</w:t>
      </w:r>
    </w:p>
    <w:p w14:paraId="27A694BB">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1.完成儿童GTT触发器优化（新增儿童特异性触发点8项）、PIM标准本土化优化（适配国内儿童用药目录）；</w:t>
      </w:r>
    </w:p>
    <w:p w14:paraId="561E3AF1">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2.完成2017-2023年四川省儿童患者药品不良反应/事件回顾性分析，已向《医药导报》投稿；</w:t>
      </w:r>
    </w:p>
    <w:p w14:paraId="358CBE9F">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3.完成对四川省人民医院儿童ADE发生及其监测现状调研。</w:t>
      </w:r>
    </w:p>
    <w:p w14:paraId="65ED9636">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4.完成论文发表2篇。</w:t>
      </w:r>
    </w:p>
    <w:p w14:paraId="7633F6EA">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（2）完成时效：项目研究目标按照计划时间完成，未有超时的情况，得3分。</w:t>
      </w:r>
    </w:p>
    <w:p w14:paraId="58770713">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楷体_GB2312" w:hAnsi="楷体_GB2312" w:eastAsia="楷体_GB2312" w:cs="楷体_GB2312"/>
          <w:color w:val="auto"/>
          <w:kern w:val="2"/>
          <w:sz w:val="32"/>
          <w:szCs w:val="32"/>
          <w:lang w:val="zh-CN" w:eastAsia="zh-CN" w:bidi="ar-SA"/>
        </w:rPr>
      </w:pPr>
      <w:r>
        <w:rPr>
          <w:rFonts w:hint="eastAsia" w:ascii="楷体_GB2312" w:hAnsi="楷体_GB2312" w:eastAsia="楷体_GB2312" w:cs="楷体_GB2312"/>
          <w:color w:val="auto"/>
          <w:kern w:val="2"/>
          <w:sz w:val="32"/>
          <w:szCs w:val="32"/>
          <w:lang w:val="zh-CN" w:eastAsia="zh-CN" w:bidi="ar-SA"/>
        </w:rPr>
        <w:t>（二）</w:t>
      </w:r>
      <w:r>
        <w:rPr>
          <w:rFonts w:hint="eastAsia" w:ascii="楷体_GB2312" w:hAnsi="楷体_GB2312" w:eastAsia="楷体_GB2312" w:cs="楷体_GB2312"/>
          <w:color w:val="auto"/>
          <w:kern w:val="2"/>
          <w:sz w:val="32"/>
          <w:szCs w:val="32"/>
          <w:lang w:val="en-US" w:eastAsia="zh-CN" w:bidi="ar-SA"/>
        </w:rPr>
        <w:t>专用指标</w:t>
      </w:r>
      <w:r>
        <w:rPr>
          <w:rFonts w:hint="default" w:ascii="楷体_GB2312" w:hAnsi="楷体_GB2312" w:eastAsia="楷体_GB2312" w:cs="楷体_GB2312"/>
          <w:color w:val="auto"/>
          <w:kern w:val="2"/>
          <w:sz w:val="32"/>
          <w:szCs w:val="32"/>
          <w:lang w:val="zh-CN" w:eastAsia="zh-CN" w:bidi="ar-SA"/>
        </w:rPr>
        <w:t>绩效分析</w:t>
      </w:r>
    </w:p>
    <w:p w14:paraId="3F3C91BA">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zh-CN" w:eastAsia="zh-CN" w:bidi="ar-SA"/>
        </w:rPr>
        <w:t>行政运转。</w:t>
      </w:r>
      <w:r>
        <w:rPr>
          <w:rFonts w:hint="eastAsia" w:ascii="Times New Roman" w:hAnsi="Times New Roman" w:eastAsia="仿宋_GB2312" w:cs="Times New Roman"/>
          <w:color w:val="auto"/>
          <w:kern w:val="2"/>
          <w:sz w:val="32"/>
          <w:szCs w:val="32"/>
          <w:lang w:val="en-US" w:eastAsia="zh-CN" w:bidi="ar-SA"/>
        </w:rPr>
        <w:t>本项目</w:t>
      </w:r>
      <w:r>
        <w:rPr>
          <w:rFonts w:hint="eastAsia" w:ascii="Times New Roman" w:hAnsi="Times New Roman" w:eastAsia="仿宋_GB2312" w:cs="Times New Roman"/>
          <w:color w:val="auto"/>
          <w:kern w:val="2"/>
          <w:sz w:val="32"/>
          <w:szCs w:val="32"/>
          <w:lang w:val="zh-CN" w:eastAsia="zh-CN" w:bidi="ar-SA"/>
        </w:rPr>
        <w:t>资金实际用途符合专项资金管理要求，</w:t>
      </w:r>
      <w:r>
        <w:rPr>
          <w:rFonts w:hint="eastAsia" w:ascii="Times New Roman" w:hAnsi="Times New Roman" w:eastAsia="仿宋_GB2312" w:cs="Times New Roman"/>
          <w:color w:val="auto"/>
          <w:kern w:val="2"/>
          <w:sz w:val="32"/>
          <w:szCs w:val="32"/>
          <w:lang w:val="en-US" w:eastAsia="zh-CN" w:bidi="ar-SA"/>
        </w:rPr>
        <w:t>中心</w:t>
      </w:r>
      <w:r>
        <w:rPr>
          <w:rFonts w:hint="eastAsia" w:ascii="Times New Roman" w:hAnsi="Times New Roman" w:eastAsia="仿宋_GB2312" w:cs="Times New Roman"/>
          <w:color w:val="auto"/>
          <w:kern w:val="2"/>
          <w:sz w:val="32"/>
          <w:szCs w:val="32"/>
          <w:lang w:val="zh-CN" w:eastAsia="zh-CN" w:bidi="ar-SA"/>
        </w:rPr>
        <w:t>资金管理程序符合专项资金管理要求，</w:t>
      </w:r>
      <w:r>
        <w:rPr>
          <w:rFonts w:hint="eastAsia" w:ascii="Times New Roman" w:hAnsi="Times New Roman" w:eastAsia="仿宋_GB2312" w:cs="Times New Roman"/>
          <w:color w:val="auto"/>
          <w:kern w:val="2"/>
          <w:sz w:val="32"/>
          <w:szCs w:val="32"/>
          <w:lang w:val="en-US" w:eastAsia="zh-CN" w:bidi="ar-SA"/>
        </w:rPr>
        <w:t>得20分；另标准合规性指标不适用。</w:t>
      </w:r>
    </w:p>
    <w:p w14:paraId="010C37C3">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楷体_GB2312" w:hAnsi="楷体_GB2312" w:eastAsia="楷体_GB2312" w:cs="楷体_GB2312"/>
          <w:color w:val="auto"/>
          <w:kern w:val="2"/>
          <w:sz w:val="32"/>
          <w:szCs w:val="32"/>
          <w:lang w:val="zh-CN" w:eastAsia="zh-CN" w:bidi="ar-SA"/>
        </w:rPr>
      </w:pPr>
      <w:r>
        <w:rPr>
          <w:rFonts w:hint="eastAsia" w:ascii="楷体_GB2312" w:hAnsi="楷体_GB2312" w:eastAsia="楷体_GB2312" w:cs="楷体_GB2312"/>
          <w:color w:val="auto"/>
          <w:kern w:val="2"/>
          <w:sz w:val="32"/>
          <w:szCs w:val="32"/>
          <w:lang w:val="en-US" w:eastAsia="zh-CN" w:bidi="ar-SA"/>
        </w:rPr>
        <w:t>（三）个性指标</w:t>
      </w:r>
      <w:r>
        <w:rPr>
          <w:rFonts w:hint="default" w:ascii="楷体_GB2312" w:hAnsi="楷体_GB2312" w:eastAsia="楷体_GB2312" w:cs="楷体_GB2312"/>
          <w:color w:val="auto"/>
          <w:kern w:val="2"/>
          <w:sz w:val="32"/>
          <w:szCs w:val="32"/>
          <w:lang w:val="zh-CN" w:eastAsia="zh-CN" w:bidi="ar-SA"/>
        </w:rPr>
        <w:t>绩效分析</w:t>
      </w:r>
    </w:p>
    <w:p w14:paraId="312972E0">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按计划完成</w:t>
      </w:r>
      <w:r>
        <w:rPr>
          <w:rFonts w:hint="default" w:ascii="Times New Roman" w:hAnsi="Times New Roman" w:eastAsia="仿宋_GB2312" w:cs="Times New Roman"/>
          <w:color w:val="auto"/>
          <w:kern w:val="2"/>
          <w:sz w:val="32"/>
          <w:szCs w:val="32"/>
          <w:lang w:val="zh-CN" w:eastAsia="zh-CN" w:bidi="ar-SA"/>
        </w:rPr>
        <w:t>《四川药品监督管理局科技计划项目任务书》</w:t>
      </w:r>
      <w:r>
        <w:rPr>
          <w:rFonts w:hint="eastAsia" w:ascii="Times New Roman" w:hAnsi="Times New Roman" w:eastAsia="仿宋_GB2312" w:cs="Times New Roman"/>
          <w:color w:val="auto"/>
          <w:kern w:val="2"/>
          <w:sz w:val="32"/>
          <w:szCs w:val="32"/>
          <w:lang w:val="en-US" w:eastAsia="zh-CN" w:bidi="ar-SA"/>
        </w:rPr>
        <w:t>2024年度考核目标，</w:t>
      </w:r>
      <w:r>
        <w:rPr>
          <w:rFonts w:hint="eastAsia" w:ascii="Times New Roman" w:hAnsi="Times New Roman" w:eastAsia="仿宋_GB2312" w:cs="Times New Roman"/>
          <w:color w:val="auto"/>
          <w:kern w:val="2"/>
          <w:sz w:val="32"/>
          <w:szCs w:val="32"/>
          <w:lang w:val="zh-CN" w:eastAsia="zh-CN" w:bidi="ar-SA"/>
        </w:rPr>
        <w:t>单位绩效目标数量指标完成率</w:t>
      </w:r>
      <w:r>
        <w:rPr>
          <w:rFonts w:hint="eastAsia" w:ascii="Times New Roman" w:hAnsi="Times New Roman" w:eastAsia="仿宋_GB2312" w:cs="Times New Roman"/>
          <w:color w:val="auto"/>
          <w:kern w:val="2"/>
          <w:sz w:val="32"/>
          <w:szCs w:val="32"/>
          <w:lang w:val="en-US" w:eastAsia="zh-CN" w:bidi="ar-SA"/>
        </w:rPr>
        <w:t>100%，得2分</w:t>
      </w:r>
      <w:r>
        <w:rPr>
          <w:rFonts w:hint="eastAsia" w:ascii="Times New Roman" w:hAnsi="Times New Roman" w:eastAsia="仿宋_GB2312" w:cs="Times New Roman"/>
          <w:color w:val="auto"/>
          <w:kern w:val="2"/>
          <w:sz w:val="32"/>
          <w:szCs w:val="32"/>
          <w:lang w:val="zh-CN" w:eastAsia="zh-CN" w:bidi="ar-SA"/>
        </w:rPr>
        <w:t>。</w:t>
      </w:r>
    </w:p>
    <w:p w14:paraId="1D4E2D37">
      <w:pPr>
        <w:pStyle w:val="2"/>
        <w:keepNext w:val="0"/>
        <w:keepLines w:val="0"/>
        <w:pageBreakBefore w:val="0"/>
        <w:widowControl w:val="0"/>
        <w:numPr>
          <w:ilvl w:val="0"/>
          <w:numId w:val="0"/>
        </w:numPr>
        <w:tabs>
          <w:tab w:val="left" w:pos="2160"/>
        </w:tabs>
        <w:kinsoku/>
        <w:wordWrap/>
        <w:overflowPunct/>
        <w:topLinePunct w:val="0"/>
        <w:autoSpaceDE/>
        <w:autoSpaceDN/>
        <w:bidi w:val="0"/>
        <w:adjustRightInd w:val="0"/>
        <w:snapToGrid w:val="0"/>
        <w:spacing w:before="0" w:beforeLines="0" w:line="560" w:lineRule="exact"/>
        <w:ind w:left="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四、评价结论</w:t>
      </w:r>
    </w:p>
    <w:p w14:paraId="621045A7">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《儿童患者药品不良事件主动监测与评估警示平台的研发与应用》预算项目绩效自评总分为100分（评价实际得分60分/适用评价项目总分60分×100），</w:t>
      </w:r>
      <w:r>
        <w:rPr>
          <w:rFonts w:hint="default" w:ascii="Times New Roman" w:hAnsi="Times New Roman" w:eastAsia="仿宋_GB2312" w:cs="Times New Roman"/>
          <w:color w:val="auto"/>
          <w:kern w:val="2"/>
          <w:sz w:val="32"/>
          <w:szCs w:val="32"/>
          <w:lang w:val="zh-CN" w:eastAsia="zh-CN" w:bidi="ar-SA"/>
        </w:rPr>
        <w:t>项目资金使用符合国家财经法规、财务管理制度及有关专项资金管理制度办法规定和审批程序，项目实施</w:t>
      </w:r>
      <w:r>
        <w:rPr>
          <w:rFonts w:hint="default" w:ascii="Times New Roman" w:hAnsi="Times New Roman" w:eastAsia="仿宋_GB2312" w:cs="Times New Roman"/>
          <w:color w:val="auto"/>
          <w:kern w:val="2"/>
          <w:sz w:val="32"/>
          <w:szCs w:val="32"/>
          <w:lang w:val="en-US" w:eastAsia="zh-CN" w:bidi="ar-SA"/>
        </w:rPr>
        <w:t>过程</w:t>
      </w:r>
      <w:r>
        <w:rPr>
          <w:rFonts w:hint="default" w:ascii="Times New Roman" w:hAnsi="Times New Roman" w:eastAsia="仿宋_GB2312" w:cs="Times New Roman"/>
          <w:color w:val="auto"/>
          <w:kern w:val="2"/>
          <w:sz w:val="32"/>
          <w:szCs w:val="32"/>
          <w:lang w:val="zh-CN" w:eastAsia="zh-CN" w:bidi="ar-SA"/>
        </w:rPr>
        <w:t>符合规定，</w:t>
      </w:r>
      <w:r>
        <w:rPr>
          <w:rFonts w:hint="default" w:ascii="Times New Roman" w:hAnsi="Times New Roman" w:eastAsia="仿宋_GB2312" w:cs="Times New Roman"/>
          <w:color w:val="auto"/>
          <w:kern w:val="2"/>
          <w:sz w:val="32"/>
          <w:szCs w:val="32"/>
          <w:lang w:val="en-US" w:eastAsia="zh-CN" w:bidi="ar-SA"/>
        </w:rPr>
        <w:t>按计划完成项目考核目标</w:t>
      </w:r>
      <w:r>
        <w:rPr>
          <w:rFonts w:hint="default" w:ascii="Times New Roman" w:hAnsi="Times New Roman" w:eastAsia="仿宋_GB2312" w:cs="Times New Roman"/>
          <w:color w:val="auto"/>
          <w:kern w:val="2"/>
          <w:sz w:val="32"/>
          <w:szCs w:val="32"/>
          <w:lang w:val="zh-CN" w:eastAsia="zh-CN" w:bidi="ar-SA"/>
        </w:rPr>
        <w:t>。</w:t>
      </w:r>
    </w:p>
    <w:p w14:paraId="7CF21A8A">
      <w:pPr>
        <w:pStyle w:val="2"/>
        <w:keepNext w:val="0"/>
        <w:keepLines w:val="0"/>
        <w:pageBreakBefore w:val="0"/>
        <w:widowControl w:val="0"/>
        <w:numPr>
          <w:ilvl w:val="0"/>
          <w:numId w:val="0"/>
        </w:numPr>
        <w:tabs>
          <w:tab w:val="left" w:pos="2160"/>
        </w:tabs>
        <w:kinsoku/>
        <w:wordWrap/>
        <w:overflowPunct/>
        <w:topLinePunct w:val="0"/>
        <w:autoSpaceDE/>
        <w:autoSpaceDN/>
        <w:bidi w:val="0"/>
        <w:adjustRightInd w:val="0"/>
        <w:snapToGrid w:val="0"/>
        <w:spacing w:before="0" w:beforeLines="0" w:line="560" w:lineRule="exact"/>
        <w:ind w:left="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五、存在主要问题</w:t>
      </w:r>
    </w:p>
    <w:p w14:paraId="31385E9F">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《儿童患者药品不良事件主动监测与评估警示平台的研发与应用》</w:t>
      </w:r>
      <w:r>
        <w:rPr>
          <w:rFonts w:hint="default" w:ascii="Times New Roman" w:hAnsi="Times New Roman" w:eastAsia="仿宋_GB2312" w:cs="Times New Roman"/>
          <w:color w:val="auto"/>
          <w:kern w:val="2"/>
          <w:sz w:val="32"/>
          <w:szCs w:val="32"/>
          <w:lang w:val="en-US" w:eastAsia="zh-CN" w:bidi="ar-SA"/>
        </w:rPr>
        <w:t>项目实施周期为2024年1月至2025年12月，因技术迭代需求、试点医院HIS系统接口标准化等因素，药品不良事件主动监测与评估警示平台研发与应用，专利发表可能存在滞后风险。</w:t>
      </w:r>
    </w:p>
    <w:p w14:paraId="5A66CB5D">
      <w:pPr>
        <w:pStyle w:val="2"/>
        <w:keepNext w:val="0"/>
        <w:keepLines w:val="0"/>
        <w:pageBreakBefore w:val="0"/>
        <w:widowControl w:val="0"/>
        <w:numPr>
          <w:ilvl w:val="0"/>
          <w:numId w:val="6"/>
        </w:numPr>
        <w:tabs>
          <w:tab w:val="left" w:pos="2160"/>
        </w:tabs>
        <w:kinsoku/>
        <w:wordWrap/>
        <w:overflowPunct/>
        <w:topLinePunct w:val="0"/>
        <w:autoSpaceDE/>
        <w:autoSpaceDN/>
        <w:bidi w:val="0"/>
        <w:adjustRightInd w:val="0"/>
        <w:snapToGrid w:val="0"/>
        <w:spacing w:before="0" w:beforeLines="0" w:line="560" w:lineRule="exact"/>
        <w:ind w:left="0" w:firstLine="640" w:firstLineChars="200"/>
        <w:textAlignment w:val="auto"/>
        <w:rPr>
          <w:rFonts w:hint="eastAsia" w:ascii="黑体" w:hAnsi="黑体" w:eastAsia="黑体" w:cs="黑体"/>
          <w:color w:val="auto"/>
          <w:kern w:val="2"/>
          <w:sz w:val="32"/>
          <w:szCs w:val="32"/>
          <w:lang w:val="zh-CN" w:eastAsia="zh-CN" w:bidi="ar-SA"/>
        </w:rPr>
      </w:pPr>
      <w:r>
        <w:rPr>
          <w:rFonts w:hint="eastAsia" w:ascii="黑体" w:hAnsi="黑体" w:eastAsia="黑体" w:cs="黑体"/>
          <w:color w:val="auto"/>
          <w:kern w:val="2"/>
          <w:sz w:val="32"/>
          <w:szCs w:val="32"/>
          <w:lang w:val="zh-CN" w:eastAsia="zh-CN" w:bidi="ar-SA"/>
        </w:rPr>
        <w:t>改进建议</w:t>
      </w:r>
    </w:p>
    <w:p w14:paraId="4081018B">
      <w:pPr>
        <w:pStyle w:val="49"/>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 w:eastAsia="zh-CN" w:bidi="ar-SA"/>
        </w:rPr>
      </w:pPr>
      <w:r>
        <w:rPr>
          <w:rFonts w:hint="default" w:ascii="Times New Roman" w:hAnsi="Times New Roman" w:eastAsia="仿宋_GB2312" w:cs="Times New Roman"/>
          <w:color w:val="auto"/>
          <w:kern w:val="2"/>
          <w:sz w:val="32"/>
          <w:szCs w:val="32"/>
          <w:lang w:val="en-US" w:eastAsia="zh-CN" w:bidi="ar-SA"/>
        </w:rPr>
        <w:t>强化多方协同与沟通，定期召开跨单位协调会推进平台联调测试，倒排工期，增加技术人员</w:t>
      </w:r>
      <w:bookmarkStart w:id="49" w:name="_Hlk110546638"/>
      <w:r>
        <w:rPr>
          <w:rFonts w:hint="default" w:ascii="Times New Roman" w:hAnsi="Times New Roman" w:eastAsia="仿宋_GB2312" w:cs="Times New Roman"/>
          <w:color w:val="auto"/>
          <w:kern w:val="2"/>
          <w:sz w:val="32"/>
          <w:szCs w:val="32"/>
          <w:lang w:val="en-US" w:eastAsia="zh-CN" w:bidi="ar-SA"/>
        </w:rPr>
        <w:t>多组并进，保障项目按期完成。</w:t>
      </w:r>
    </w:p>
    <w:bookmarkEnd w:id="49"/>
    <w:p w14:paraId="762D705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154726BD">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right="0"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附表：1.项目资金分配涉及所有点位自评得分情况表</w:t>
      </w:r>
    </w:p>
    <w:p w14:paraId="044630E2">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right="0" w:firstLine="1600" w:firstLineChars="5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2.省级药品监管专项资金绩效评价指标体系</w:t>
      </w:r>
    </w:p>
    <w:p w14:paraId="736FB78D">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right="0" w:firstLine="1600" w:firstLineChars="5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3.省级药品监管专项资金绩效目标自评表</w:t>
      </w:r>
    </w:p>
    <w:p w14:paraId="177514D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EBE408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3FB0B31">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35923E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3104F2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7731549">
      <w:pPr>
        <w:keepNext w:val="0"/>
        <w:keepLines w:val="0"/>
        <w:pageBreakBefore w:val="0"/>
        <w:widowControl w:val="0"/>
        <w:kinsoku/>
        <w:wordWrap/>
        <w:overflowPunct/>
        <w:topLinePunct w:val="0"/>
        <w:autoSpaceDE/>
        <w:autoSpaceDN/>
        <w:bidi w:val="0"/>
        <w:adjustRightInd/>
        <w:snapToGrid w:val="0"/>
        <w:spacing w:line="560" w:lineRule="exact"/>
        <w:textAlignment w:val="auto"/>
        <w:outlineLvl w:val="9"/>
        <w:rPr>
          <w:rFonts w:hint="default" w:ascii="Times New Roman" w:hAnsi="Times New Roman" w:eastAsia="黑体" w:cs="Times New Roman"/>
          <w:b w:val="0"/>
          <w:bCs w:val="0"/>
          <w:color w:val="auto"/>
          <w:kern w:val="0"/>
          <w:sz w:val="32"/>
          <w:szCs w:val="32"/>
          <w:highlight w:val="none"/>
          <w:u w:val="none"/>
          <w:shd w:val="clear" w:color="auto" w:fill="FFFFFF"/>
          <w:lang w:val="en-US" w:eastAsia="zh-CN"/>
        </w:rPr>
      </w:pPr>
      <w:r>
        <w:rPr>
          <w:rFonts w:hint="default" w:ascii="Times New Roman" w:hAnsi="Times New Roman" w:eastAsia="黑体" w:cs="Times New Roman"/>
          <w:b w:val="0"/>
          <w:bCs w:val="0"/>
          <w:color w:val="auto"/>
          <w:kern w:val="0"/>
          <w:sz w:val="32"/>
          <w:szCs w:val="32"/>
          <w:highlight w:val="none"/>
          <w:u w:val="none"/>
          <w:shd w:val="clear" w:color="auto" w:fill="FFFFFF"/>
          <w:lang w:val="zh-CN" w:eastAsia="zh-CN"/>
        </w:rPr>
        <w:t>附</w:t>
      </w:r>
      <w:r>
        <w:rPr>
          <w:rFonts w:hint="eastAsia" w:ascii="Times New Roman" w:hAnsi="Times New Roman" w:eastAsia="黑体" w:cs="Times New Roman"/>
          <w:b w:val="0"/>
          <w:bCs w:val="0"/>
          <w:color w:val="auto"/>
          <w:kern w:val="0"/>
          <w:sz w:val="32"/>
          <w:szCs w:val="32"/>
          <w:highlight w:val="none"/>
          <w:u w:val="none"/>
          <w:shd w:val="clear" w:color="auto" w:fill="FFFFFF"/>
          <w:lang w:val="en-US" w:eastAsia="zh-CN"/>
        </w:rPr>
        <w:t>表</w:t>
      </w:r>
      <w:r>
        <w:rPr>
          <w:rFonts w:hint="default" w:ascii="Times New Roman" w:hAnsi="Times New Roman" w:eastAsia="黑体" w:cs="Times New Roman"/>
          <w:b w:val="0"/>
          <w:bCs w:val="0"/>
          <w:color w:val="auto"/>
          <w:kern w:val="0"/>
          <w:sz w:val="32"/>
          <w:szCs w:val="32"/>
          <w:highlight w:val="none"/>
          <w:u w:val="none"/>
          <w:shd w:val="clear" w:color="auto" w:fill="FFFFFF"/>
          <w:lang w:val="en-US" w:eastAsia="zh-CN"/>
        </w:rPr>
        <w:t>1</w:t>
      </w:r>
    </w:p>
    <w:p w14:paraId="52AE376E">
      <w:pPr>
        <w:keepNext w:val="0"/>
        <w:keepLines w:val="0"/>
        <w:pageBreakBefore w:val="0"/>
        <w:widowControl w:val="0"/>
        <w:kinsoku/>
        <w:wordWrap/>
        <w:overflowPunct/>
        <w:topLinePunct w:val="0"/>
        <w:autoSpaceDE/>
        <w:autoSpaceDN/>
        <w:bidi w:val="0"/>
        <w:adjustRightInd/>
        <w:spacing w:line="560" w:lineRule="exact"/>
        <w:ind w:left="0" w:leftChars="0"/>
        <w:jc w:val="center"/>
        <w:textAlignment w:val="auto"/>
        <w:rPr>
          <w:rFonts w:hint="eastAsia" w:ascii="方正大标宋简体" w:hAnsi="方正大标宋简体" w:eastAsia="方正大标宋简体" w:cs="方正大标宋简体"/>
          <w:b w:val="0"/>
          <w:bCs w:val="0"/>
          <w:color w:val="auto"/>
          <w:sz w:val="36"/>
          <w:szCs w:val="36"/>
          <w:highlight w:val="none"/>
          <w:u w:val="none"/>
          <w:lang w:val="en-US" w:eastAsia="zh-CN"/>
        </w:rPr>
      </w:pPr>
      <w:r>
        <w:rPr>
          <w:rFonts w:hint="eastAsia" w:ascii="方正大标宋简体" w:hAnsi="方正大标宋简体" w:eastAsia="方正大标宋简体" w:cs="方正大标宋简体"/>
          <w:b w:val="0"/>
          <w:bCs w:val="0"/>
          <w:color w:val="auto"/>
          <w:sz w:val="36"/>
          <w:szCs w:val="36"/>
          <w:highlight w:val="none"/>
          <w:u w:val="none"/>
          <w:lang w:val="en-US" w:eastAsia="zh-CN"/>
        </w:rPr>
        <w:t>项目资金分配涉及所有点位自评得分情况表</w:t>
      </w:r>
    </w:p>
    <w:p w14:paraId="37934447">
      <w:pPr>
        <w:pStyle w:val="2"/>
        <w:keepNext w:val="0"/>
        <w:keepLines w:val="0"/>
        <w:pageBreakBefore w:val="0"/>
        <w:widowControl w:val="0"/>
        <w:kinsoku/>
        <w:wordWrap/>
        <w:overflowPunct/>
        <w:topLinePunct w:val="0"/>
        <w:autoSpaceDE/>
        <w:autoSpaceDN/>
        <w:bidi w:val="0"/>
        <w:adjustRightInd/>
        <w:spacing w:line="560" w:lineRule="exact"/>
        <w:textAlignment w:val="auto"/>
        <w:rPr>
          <w:rFonts w:hint="eastAsia"/>
          <w:lang w:val="en-US" w:eastAsia="zh-CN"/>
        </w:rPr>
      </w:pP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43"/>
        <w:gridCol w:w="1183"/>
        <w:gridCol w:w="2671"/>
      </w:tblGrid>
      <w:tr w14:paraId="3C11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3" w:type="dxa"/>
            <w:noWrap w:val="0"/>
            <w:vAlign w:val="center"/>
          </w:tcPr>
          <w:p w14:paraId="13EFFEA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43" w:type="dxa"/>
            <w:noWrap w:val="0"/>
            <w:vAlign w:val="center"/>
          </w:tcPr>
          <w:p w14:paraId="6507A4F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1183" w:type="dxa"/>
            <w:noWrap w:val="0"/>
            <w:vAlign w:val="center"/>
          </w:tcPr>
          <w:p w14:paraId="40B2ECB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2671" w:type="dxa"/>
            <w:noWrap w:val="0"/>
            <w:vAlign w:val="center"/>
          </w:tcPr>
          <w:p w14:paraId="4F3C003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34AB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9" w:hRule="exact"/>
          <w:jc w:val="center"/>
        </w:trPr>
        <w:tc>
          <w:tcPr>
            <w:tcW w:w="1123" w:type="dxa"/>
            <w:noWrap w:val="0"/>
            <w:vAlign w:val="center"/>
          </w:tcPr>
          <w:p w14:paraId="5AF41A9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843" w:type="dxa"/>
            <w:noWrap w:val="0"/>
            <w:vAlign w:val="center"/>
          </w:tcPr>
          <w:p w14:paraId="0C224F9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四川省食品药品审查评价及安全监测中心、四川省医学科学院</w:t>
            </w:r>
            <w:r>
              <w:rPr>
                <w:rFonts w:hint="eastAsia" w:ascii="仿宋_GB2312" w:hAnsi="仿宋_GB2312" w:eastAsia="仿宋_GB2312" w:cs="仿宋_GB2312"/>
                <w:color w:val="auto"/>
                <w:sz w:val="24"/>
                <w:szCs w:val="24"/>
                <w:highlight w:val="none"/>
                <w:u w:val="none"/>
                <w:vertAlign w:val="baseline"/>
                <w:lang w:val="en-US" w:eastAsia="zh-CN"/>
              </w:rPr>
              <w:t>·</w:t>
            </w:r>
            <w:r>
              <w:rPr>
                <w:rFonts w:hint="eastAsia" w:ascii="宋体" w:hAnsi="宋体" w:cs="宋体"/>
                <w:color w:val="auto"/>
                <w:sz w:val="24"/>
                <w:szCs w:val="24"/>
                <w:highlight w:val="none"/>
                <w:u w:val="none"/>
                <w:vertAlign w:val="baseline"/>
                <w:lang w:val="en-US" w:eastAsia="zh-CN"/>
              </w:rPr>
              <w:t>四川省人民医院</w:t>
            </w:r>
          </w:p>
        </w:tc>
        <w:tc>
          <w:tcPr>
            <w:tcW w:w="1183" w:type="dxa"/>
            <w:noWrap w:val="0"/>
            <w:vAlign w:val="center"/>
          </w:tcPr>
          <w:p w14:paraId="79B0C0E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100</w:t>
            </w:r>
          </w:p>
        </w:tc>
        <w:tc>
          <w:tcPr>
            <w:tcW w:w="2671" w:type="dxa"/>
            <w:noWrap w:val="0"/>
            <w:vAlign w:val="center"/>
          </w:tcPr>
          <w:p w14:paraId="4148DBFA">
            <w:pPr>
              <w:keepNext w:val="0"/>
              <w:keepLines w:val="0"/>
              <w:pageBreakBefore w:val="0"/>
              <w:widowControl w:val="0"/>
              <w:kinsoku/>
              <w:wordWrap/>
              <w:overflowPunct/>
              <w:topLinePunct w:val="0"/>
              <w:autoSpaceDE/>
              <w:autoSpaceDN/>
              <w:bidi w:val="0"/>
              <w:adjustRightInd/>
              <w:snapToGrid/>
              <w:spacing w:line="300" w:lineRule="exact"/>
              <w:ind w:left="0" w:leftChars="0"/>
              <w:jc w:val="both"/>
              <w:textAlignment w:val="auto"/>
              <w:outlineLvl w:val="9"/>
              <w:rPr>
                <w:rFonts w:hint="eastAsia" w:ascii="宋体" w:hAnsi="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儿童患者药品不良事件主动监测与评估警示平台的研发与应用》项目实施周期为2024年1月至2025年12月。2024年已按计划完成儿童GTT触发器优化、PIM标准优化、既往数据库的优化，四川省儿童用药不良反应数据回顾性分析、论文等，为软件平台的建立做好理论基础和数据准备。2025年按计划完成儿童患者药品不良事件主动监测与评估警示平台的研发与应用工作。</w:t>
            </w:r>
          </w:p>
        </w:tc>
      </w:tr>
    </w:tbl>
    <w:p w14:paraId="2F036AE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备注：1.项目资金末端分配点位包括市（州）本级、县（市、区）、省级部门下属单位及一次性单位等。</w:t>
      </w:r>
    </w:p>
    <w:p w14:paraId="4706526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0" w:firstLineChars="3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6C7E6CC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62FEA9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CFE8DB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49DE90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5CEB7A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2B7BD4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9DD21CB">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2179FB0">
      <w:pPr>
        <w:pStyle w:val="9"/>
        <w:keepNext w:val="0"/>
        <w:keepLines w:val="0"/>
        <w:pageBreakBefore w:val="0"/>
        <w:widowControl w:val="0"/>
        <w:kinsoku/>
        <w:wordWrap/>
        <w:overflowPunct/>
        <w:topLinePunct w:val="0"/>
        <w:autoSpaceDE/>
        <w:autoSpaceDN/>
        <w:bidi w:val="0"/>
        <w:spacing w:line="560" w:lineRule="exact"/>
        <w:textAlignment w:val="auto"/>
        <w:rPr>
          <w:rFonts w:hint="default" w:ascii="黑体" w:hAnsi="黑体" w:eastAsia="黑体" w:cs="黑体"/>
          <w:b w:val="0"/>
          <w:bCs w:val="0"/>
          <w:sz w:val="32"/>
          <w:szCs w:val="32"/>
          <w:lang w:val="en-US" w:eastAsia="zh-CN"/>
        </w:rPr>
      </w:pPr>
      <w:r>
        <w:rPr>
          <w:rFonts w:hint="default" w:ascii="Times New Roman" w:hAnsi="Times New Roman" w:eastAsia="仿宋_GB2312" w:cs="Times New Roman"/>
          <w:b w:val="0"/>
          <w:bCs w:val="0"/>
          <w:sz w:val="32"/>
          <w:szCs w:val="32"/>
          <w:lang w:eastAsia="zh-CN"/>
        </w:rPr>
        <w:drawing>
          <wp:anchor distT="0" distB="0" distL="114300" distR="114300" simplePos="0" relativeHeight="251673600" behindDoc="1" locked="0" layoutInCell="1" allowOverlap="1">
            <wp:simplePos x="0" y="0"/>
            <wp:positionH relativeFrom="column">
              <wp:posOffset>-1292860</wp:posOffset>
            </wp:positionH>
            <wp:positionV relativeFrom="paragraph">
              <wp:posOffset>318770</wp:posOffset>
            </wp:positionV>
            <wp:extent cx="7926705" cy="6943725"/>
            <wp:effectExtent l="0" t="0" r="17145" b="9525"/>
            <wp:wrapNone/>
            <wp:docPr id="11" name="图片 8" descr="2024年审评中心中央和省级药品监管专项项目绩效评价指标体系及自评表（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2024年审评中心中央和省级药品监管专项项目绩效评价指标体系及自评表（新）_1"/>
                    <pic:cNvPicPr>
                      <a:picLocks noChangeAspect="1"/>
                    </pic:cNvPicPr>
                  </pic:nvPicPr>
                  <pic:blipFill>
                    <a:blip r:embed="rId39"/>
                    <a:stretch>
                      <a:fillRect/>
                    </a:stretch>
                  </pic:blipFill>
                  <pic:spPr>
                    <a:xfrm>
                      <a:off x="0" y="0"/>
                      <a:ext cx="7926705" cy="6943725"/>
                    </a:xfrm>
                    <a:prstGeom prst="rect">
                      <a:avLst/>
                    </a:prstGeom>
                    <a:noFill/>
                    <a:ln>
                      <a:noFill/>
                    </a:ln>
                  </pic:spPr>
                </pic:pic>
              </a:graphicData>
            </a:graphic>
          </wp:anchor>
        </w:drawing>
      </w:r>
      <w:r>
        <w:rPr>
          <w:rFonts w:hint="eastAsia" w:ascii="黑体" w:hAnsi="黑体" w:eastAsia="黑体" w:cs="黑体"/>
          <w:color w:val="auto"/>
          <w:kern w:val="2"/>
          <w:sz w:val="32"/>
          <w:szCs w:val="32"/>
          <w:lang w:val="en-US" w:eastAsia="zh-CN" w:bidi="ar-SA"/>
        </w:rPr>
        <w:t>附表</w:t>
      </w:r>
      <w:r>
        <w:rPr>
          <w:rFonts w:hint="eastAsia" w:eastAsia="黑体" w:cs="Times New Roman"/>
          <w:color w:val="auto"/>
          <w:kern w:val="2"/>
          <w:sz w:val="32"/>
          <w:szCs w:val="32"/>
          <w:lang w:val="en-US" w:eastAsia="zh-CN" w:bidi="ar-SA"/>
        </w:rPr>
        <w:t>2</w:t>
      </w:r>
    </w:p>
    <w:p w14:paraId="25CCAEDE">
      <w:pPr>
        <w:pStyle w:val="9"/>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仿宋_GB2312" w:cs="Times New Roman"/>
          <w:b w:val="0"/>
          <w:bCs w:val="0"/>
          <w:sz w:val="32"/>
          <w:szCs w:val="32"/>
          <w:lang w:eastAsia="zh-CN"/>
        </w:rPr>
      </w:pPr>
      <w:r>
        <w:rPr>
          <w:rFonts w:hint="eastAsia" w:ascii="方正小标宋简体" w:hAnsi="方正小标宋简体" w:eastAsia="方正小标宋简体" w:cs="方正小标宋简体"/>
          <w:color w:val="auto"/>
          <w:kern w:val="2"/>
          <w:sz w:val="36"/>
          <w:szCs w:val="36"/>
          <w:lang w:val="en-US" w:eastAsia="zh-CN" w:bidi="ar-SA"/>
        </w:rPr>
        <w:t>省级药品监管专项资金绩效评价指标体系</w:t>
      </w:r>
    </w:p>
    <w:p w14:paraId="734927EE">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2A4EBB51">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777927B5">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2F47985A">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124BDAC9">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39FCB685">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6D1CE31B">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76BE5907">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0C12670B">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648A993F">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089E6D2A">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37746382">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3C4E8649">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372E2F68">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1B9E7A6A">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7F32DF9F">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224C7540">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3B03BF81">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64DC38AB">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07DBD91D">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2EAD8CEC">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olor w:val="000000"/>
          <w:sz w:val="44"/>
          <w:szCs w:val="44"/>
        </w:rPr>
      </w:pPr>
    </w:p>
    <w:p w14:paraId="709E50D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8BD09B4">
      <w:pPr>
        <w:pStyle w:val="9"/>
        <w:keepNext w:val="0"/>
        <w:keepLines w:val="0"/>
        <w:pageBreakBefore w:val="0"/>
        <w:widowControl w:val="0"/>
        <w:kinsoku/>
        <w:wordWrap/>
        <w:overflowPunct/>
        <w:topLinePunct w:val="0"/>
        <w:autoSpaceDE/>
        <w:autoSpaceDN/>
        <w:bidi w:val="0"/>
        <w:spacing w:line="560" w:lineRule="exact"/>
        <w:textAlignment w:val="auto"/>
        <w:rPr>
          <w:rFonts w:hint="default" w:ascii="黑体" w:hAnsi="黑体" w:eastAsia="黑体" w:cs="黑体"/>
          <w:b w:val="0"/>
          <w:bCs w:val="0"/>
          <w:sz w:val="32"/>
          <w:szCs w:val="32"/>
          <w:lang w:val="en-US" w:eastAsia="zh-CN"/>
        </w:rPr>
      </w:pPr>
      <w:r>
        <w:rPr>
          <w:rFonts w:hint="default" w:ascii="Times New Roman" w:hAnsi="Times New Roman" w:eastAsia="仿宋_GB2312" w:cs="Times New Roman"/>
          <w:b w:val="0"/>
          <w:bCs w:val="0"/>
          <w:sz w:val="32"/>
          <w:szCs w:val="32"/>
          <w:lang w:eastAsia="zh-CN"/>
        </w:rPr>
        <w:drawing>
          <wp:anchor distT="0" distB="0" distL="114300" distR="114300" simplePos="0" relativeHeight="251674624" behindDoc="1" locked="0" layoutInCell="1" allowOverlap="1">
            <wp:simplePos x="0" y="0"/>
            <wp:positionH relativeFrom="column">
              <wp:posOffset>-426720</wp:posOffset>
            </wp:positionH>
            <wp:positionV relativeFrom="paragraph">
              <wp:posOffset>243840</wp:posOffset>
            </wp:positionV>
            <wp:extent cx="6118860" cy="8404860"/>
            <wp:effectExtent l="0" t="0" r="15240" b="15240"/>
            <wp:wrapNone/>
            <wp:docPr id="12" name="图片 7" descr="2024年审评中心中央和省级药品监管专项项目绩效评价指标体系及自评表（2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2024年审评中心中央和省级药品监管专项项目绩效评价指标体系及自评表（222）_2"/>
                    <pic:cNvPicPr>
                      <a:picLocks noChangeAspect="1"/>
                    </pic:cNvPicPr>
                  </pic:nvPicPr>
                  <pic:blipFill>
                    <a:blip r:embed="rId40"/>
                    <a:stretch>
                      <a:fillRect/>
                    </a:stretch>
                  </pic:blipFill>
                  <pic:spPr>
                    <a:xfrm>
                      <a:off x="0" y="0"/>
                      <a:ext cx="6118860" cy="8404860"/>
                    </a:xfrm>
                    <a:prstGeom prst="rect">
                      <a:avLst/>
                    </a:prstGeom>
                    <a:noFill/>
                    <a:ln>
                      <a:noFill/>
                    </a:ln>
                  </pic:spPr>
                </pic:pic>
              </a:graphicData>
            </a:graphic>
          </wp:anchor>
        </w:drawing>
      </w:r>
      <w:r>
        <w:rPr>
          <w:rFonts w:hint="eastAsia" w:ascii="黑体" w:hAnsi="黑体" w:eastAsia="黑体" w:cs="黑体"/>
          <w:color w:val="auto"/>
          <w:kern w:val="2"/>
          <w:sz w:val="32"/>
          <w:szCs w:val="32"/>
          <w:lang w:val="en-US" w:eastAsia="zh-CN" w:bidi="ar-SA"/>
        </w:rPr>
        <w:t>附</w:t>
      </w:r>
      <w:r>
        <w:rPr>
          <w:rFonts w:hint="eastAsia" w:ascii="Times New Roman" w:hAnsi="Times New Roman" w:eastAsia="黑体" w:cs="Times New Roman"/>
          <w:color w:val="auto"/>
          <w:kern w:val="2"/>
          <w:sz w:val="32"/>
          <w:szCs w:val="32"/>
          <w:lang w:val="en-US" w:eastAsia="zh-CN" w:bidi="ar-SA"/>
        </w:rPr>
        <w:t>表</w:t>
      </w:r>
      <w:r>
        <w:rPr>
          <w:rFonts w:hint="eastAsia" w:eastAsia="黑体" w:cs="Times New Roman"/>
          <w:color w:val="auto"/>
          <w:kern w:val="2"/>
          <w:sz w:val="32"/>
          <w:szCs w:val="32"/>
          <w:lang w:val="en-US" w:eastAsia="zh-CN" w:bidi="ar-SA"/>
        </w:rPr>
        <w:t>3</w:t>
      </w:r>
    </w:p>
    <w:p w14:paraId="2D529C18">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r>
        <w:rPr>
          <w:rFonts w:hint="eastAsia" w:ascii="方正小标宋简体" w:hAnsi="方正小标宋简体" w:eastAsia="方正小标宋简体" w:cs="方正小标宋简体"/>
          <w:color w:val="auto"/>
          <w:kern w:val="2"/>
          <w:sz w:val="36"/>
          <w:szCs w:val="36"/>
          <w:lang w:val="en-US" w:eastAsia="zh-CN" w:bidi="ar-SA"/>
        </w:rPr>
        <w:t>省级药品监管专项资金绩效目标自评表</w:t>
      </w:r>
    </w:p>
    <w:p w14:paraId="75BEC39C">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08A725A6">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4DCB7260">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167FBFD6">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60D25E13">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2015F1A1">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0FE783E8">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4A3A1BEF">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7B3DB3EE">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74D2D117">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299762DB">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16157D88">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325C5381">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3FEC4884">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5FBE120E">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417BE2F5">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2C13C9DF">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4E56480C">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20291CA4">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3BCC4B20">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4259B179">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kern w:val="2"/>
          <w:sz w:val="36"/>
          <w:szCs w:val="36"/>
          <w:lang w:val="en-US" w:eastAsia="zh-CN" w:bidi="ar-SA"/>
        </w:rPr>
      </w:pPr>
    </w:p>
    <w:p w14:paraId="5E0C79C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EDB5E2F">
      <w:pPr>
        <w:pageBreakBefore w:val="0"/>
        <w:widowControl w:val="0"/>
        <w:kinsoku/>
        <w:wordWrap/>
        <w:overflowPunct/>
        <w:topLinePunct w:val="0"/>
        <w:autoSpaceDE/>
        <w:autoSpaceDN/>
        <w:bidi w:val="0"/>
        <w:adjustRightInd/>
        <w:snapToGrid/>
        <w:spacing w:line="560" w:lineRule="exact"/>
        <w:jc w:val="center"/>
        <w:textAlignment w:val="auto"/>
        <w:outlineLvl w:val="0"/>
        <w:rPr>
          <w:rFonts w:ascii="仿宋" w:hAnsi="仿宋" w:eastAsia="仿宋"/>
          <w:color w:val="000000"/>
        </w:rPr>
      </w:pPr>
      <w:r>
        <w:rPr>
          <w:rFonts w:hint="eastAsia" w:ascii="黑体" w:hAnsi="黑体" w:eastAsia="黑体"/>
          <w:color w:val="000000"/>
          <w:sz w:val="44"/>
          <w:szCs w:val="44"/>
        </w:rPr>
        <w:t>第</w:t>
      </w:r>
      <w:r>
        <w:rPr>
          <w:rStyle w:val="23"/>
          <w:rFonts w:hint="eastAsia" w:ascii="黑体" w:hAnsi="黑体" w:eastAsia="黑体"/>
          <w:b w:val="0"/>
        </w:rPr>
        <w:t>五部分 附表</w:t>
      </w:r>
    </w:p>
    <w:p w14:paraId="6C3EFDC9">
      <w:pPr>
        <w:pStyle w:val="4"/>
        <w:pageBreakBefore w:val="0"/>
        <w:widowControl w:val="0"/>
        <w:kinsoku/>
        <w:wordWrap/>
        <w:overflowPunct/>
        <w:topLinePunct w:val="0"/>
        <w:autoSpaceDE/>
        <w:autoSpaceDN/>
        <w:bidi w:val="0"/>
        <w:adjustRightInd/>
        <w:snapToGrid/>
        <w:spacing w:line="560" w:lineRule="exact"/>
        <w:textAlignment w:val="auto"/>
        <w:rPr>
          <w:rFonts w:ascii="仿宋" w:hAnsi="仿宋" w:eastAsia="仿宋"/>
          <w:color w:val="000000"/>
        </w:rPr>
      </w:pPr>
      <w:r>
        <w:rPr>
          <w:rFonts w:hint="eastAsia" w:ascii="仿宋" w:hAnsi="仿宋" w:eastAsia="仿宋"/>
          <w:b w:val="0"/>
          <w:color w:val="000000"/>
        </w:rPr>
        <w:t>一、收</w:t>
      </w:r>
      <w:r>
        <w:rPr>
          <w:rStyle w:val="24"/>
          <w:rFonts w:hint="eastAsia" w:ascii="仿宋" w:hAnsi="仿宋" w:eastAsia="仿宋"/>
          <w:b w:val="0"/>
          <w:bCs w:val="0"/>
        </w:rPr>
        <w:t>入支出决算总表</w:t>
      </w:r>
    </w:p>
    <w:p w14:paraId="2D4A7EED">
      <w:pPr>
        <w:pStyle w:val="4"/>
        <w:pageBreakBefore w:val="0"/>
        <w:widowControl w:val="0"/>
        <w:kinsoku/>
        <w:wordWrap/>
        <w:overflowPunct/>
        <w:topLinePunct w:val="0"/>
        <w:autoSpaceDE/>
        <w:autoSpaceDN/>
        <w:bidi w:val="0"/>
        <w:adjustRightInd/>
        <w:snapToGrid/>
        <w:spacing w:line="560" w:lineRule="exact"/>
        <w:textAlignment w:val="auto"/>
        <w:rPr>
          <w:rFonts w:ascii="仿宋" w:hAnsi="仿宋" w:eastAsia="仿宋"/>
          <w:color w:val="000000"/>
        </w:rPr>
      </w:pPr>
      <w:bookmarkStart w:id="50" w:name="_Toc15396620"/>
      <w:r>
        <w:rPr>
          <w:rFonts w:hint="eastAsia" w:ascii="仿宋" w:hAnsi="仿宋" w:eastAsia="仿宋"/>
          <w:b w:val="0"/>
          <w:color w:val="000000"/>
        </w:rPr>
        <w:t>二、收</w:t>
      </w:r>
      <w:r>
        <w:rPr>
          <w:rStyle w:val="24"/>
          <w:rFonts w:hint="eastAsia" w:ascii="仿宋" w:hAnsi="仿宋" w:eastAsia="仿宋"/>
          <w:b w:val="0"/>
          <w:bCs w:val="0"/>
        </w:rPr>
        <w:t>入决算表</w:t>
      </w:r>
      <w:bookmarkEnd w:id="50"/>
    </w:p>
    <w:p w14:paraId="76EAA1BA">
      <w:pPr>
        <w:pStyle w:val="4"/>
        <w:pageBreakBefore w:val="0"/>
        <w:widowControl w:val="0"/>
        <w:kinsoku/>
        <w:wordWrap/>
        <w:overflowPunct/>
        <w:topLinePunct w:val="0"/>
        <w:autoSpaceDE/>
        <w:autoSpaceDN/>
        <w:bidi w:val="0"/>
        <w:adjustRightInd/>
        <w:snapToGrid/>
        <w:spacing w:line="560" w:lineRule="exact"/>
        <w:textAlignment w:val="auto"/>
        <w:rPr>
          <w:rFonts w:ascii="仿宋" w:hAnsi="仿宋" w:eastAsia="仿宋"/>
          <w:color w:val="000000"/>
        </w:rPr>
      </w:pPr>
      <w:bookmarkStart w:id="51" w:name="_Toc15396621"/>
      <w:r>
        <w:rPr>
          <w:rStyle w:val="24"/>
          <w:rFonts w:hint="eastAsia" w:ascii="仿宋" w:hAnsi="仿宋" w:eastAsia="仿宋"/>
          <w:b w:val="0"/>
          <w:bCs w:val="0"/>
        </w:rPr>
        <w:t>三、</w:t>
      </w:r>
      <w:r>
        <w:rPr>
          <w:rFonts w:hint="eastAsia" w:ascii="仿宋" w:hAnsi="仿宋" w:eastAsia="仿宋"/>
          <w:b w:val="0"/>
          <w:color w:val="000000"/>
        </w:rPr>
        <w:t>支</w:t>
      </w:r>
      <w:r>
        <w:rPr>
          <w:rStyle w:val="24"/>
          <w:rFonts w:hint="eastAsia" w:ascii="仿宋" w:hAnsi="仿宋" w:eastAsia="仿宋"/>
          <w:b w:val="0"/>
          <w:bCs w:val="0"/>
        </w:rPr>
        <w:t>出决算表</w:t>
      </w:r>
      <w:bookmarkEnd w:id="51"/>
    </w:p>
    <w:p w14:paraId="7CAEF1C4">
      <w:pPr>
        <w:pStyle w:val="4"/>
        <w:pageBreakBefore w:val="0"/>
        <w:widowControl w:val="0"/>
        <w:kinsoku/>
        <w:wordWrap/>
        <w:overflowPunct/>
        <w:topLinePunct w:val="0"/>
        <w:autoSpaceDE/>
        <w:autoSpaceDN/>
        <w:bidi w:val="0"/>
        <w:adjustRightInd/>
        <w:snapToGrid/>
        <w:spacing w:line="560" w:lineRule="exact"/>
        <w:textAlignment w:val="auto"/>
        <w:rPr>
          <w:rFonts w:ascii="仿宋" w:hAnsi="仿宋" w:eastAsia="仿宋"/>
          <w:b w:val="0"/>
          <w:color w:val="000000"/>
        </w:rPr>
      </w:pPr>
      <w:bookmarkStart w:id="52" w:name="_Toc15396622"/>
      <w:r>
        <w:rPr>
          <w:rStyle w:val="24"/>
          <w:rFonts w:hint="eastAsia" w:ascii="仿宋" w:hAnsi="仿宋" w:eastAsia="仿宋"/>
          <w:b w:val="0"/>
          <w:bCs w:val="0"/>
        </w:rPr>
        <w:t>四、</w:t>
      </w:r>
      <w:r>
        <w:rPr>
          <w:rFonts w:hint="eastAsia" w:ascii="仿宋" w:hAnsi="仿宋" w:eastAsia="仿宋"/>
          <w:b w:val="0"/>
          <w:color w:val="000000"/>
        </w:rPr>
        <w:t>财</w:t>
      </w:r>
      <w:r>
        <w:rPr>
          <w:rStyle w:val="24"/>
          <w:rFonts w:hint="eastAsia" w:ascii="仿宋" w:hAnsi="仿宋" w:eastAsia="仿宋"/>
          <w:b w:val="0"/>
          <w:bCs w:val="0"/>
        </w:rPr>
        <w:t>政拨款收入支出决算总表</w:t>
      </w:r>
      <w:bookmarkEnd w:id="52"/>
    </w:p>
    <w:p w14:paraId="70C41A6F">
      <w:pPr>
        <w:pStyle w:val="4"/>
        <w:pageBreakBefore w:val="0"/>
        <w:widowControl w:val="0"/>
        <w:kinsoku/>
        <w:wordWrap/>
        <w:overflowPunct/>
        <w:topLinePunct w:val="0"/>
        <w:autoSpaceDE/>
        <w:autoSpaceDN/>
        <w:bidi w:val="0"/>
        <w:adjustRightInd/>
        <w:snapToGrid/>
        <w:spacing w:line="560" w:lineRule="exact"/>
        <w:textAlignment w:val="auto"/>
        <w:rPr>
          <w:rStyle w:val="24"/>
          <w:rFonts w:ascii="仿宋" w:hAnsi="仿宋" w:eastAsia="仿宋"/>
          <w:b w:val="0"/>
          <w:bCs w:val="0"/>
        </w:rPr>
      </w:pPr>
      <w:bookmarkStart w:id="53" w:name="_Toc15396623"/>
      <w:r>
        <w:rPr>
          <w:rStyle w:val="24"/>
          <w:rFonts w:hint="eastAsia" w:ascii="仿宋" w:hAnsi="仿宋" w:eastAsia="仿宋"/>
          <w:b w:val="0"/>
          <w:bCs w:val="0"/>
        </w:rPr>
        <w:t>五、</w:t>
      </w:r>
      <w:r>
        <w:rPr>
          <w:rFonts w:hint="eastAsia" w:ascii="仿宋" w:hAnsi="仿宋" w:eastAsia="仿宋"/>
          <w:b w:val="0"/>
          <w:color w:val="000000"/>
        </w:rPr>
        <w:t>财</w:t>
      </w:r>
      <w:r>
        <w:rPr>
          <w:rStyle w:val="24"/>
          <w:rFonts w:hint="eastAsia" w:ascii="仿宋" w:hAnsi="仿宋" w:eastAsia="仿宋"/>
          <w:b w:val="0"/>
          <w:bCs w:val="0"/>
        </w:rPr>
        <w:t>政拨款支出决算明细表</w:t>
      </w:r>
      <w:bookmarkEnd w:id="53"/>
      <w:bookmarkStart w:id="54" w:name="_Toc15396624"/>
    </w:p>
    <w:p w14:paraId="58E94BB6">
      <w:pPr>
        <w:pStyle w:val="4"/>
        <w:pageBreakBefore w:val="0"/>
        <w:widowControl w:val="0"/>
        <w:kinsoku/>
        <w:wordWrap/>
        <w:overflowPunct/>
        <w:topLinePunct w:val="0"/>
        <w:autoSpaceDE/>
        <w:autoSpaceDN/>
        <w:bidi w:val="0"/>
        <w:adjustRightInd/>
        <w:snapToGrid/>
        <w:spacing w:line="560" w:lineRule="exact"/>
        <w:textAlignment w:val="auto"/>
        <w:rPr>
          <w:rFonts w:ascii="仿宋" w:hAnsi="仿宋" w:eastAsia="仿宋"/>
          <w:color w:val="000000"/>
        </w:rPr>
      </w:pPr>
      <w:r>
        <w:rPr>
          <w:rStyle w:val="24"/>
          <w:rFonts w:hint="eastAsia" w:ascii="仿宋" w:hAnsi="仿宋" w:eastAsia="仿宋"/>
          <w:b w:val="0"/>
          <w:bCs w:val="0"/>
        </w:rPr>
        <w:t>六、</w:t>
      </w:r>
      <w:r>
        <w:rPr>
          <w:rFonts w:hint="eastAsia" w:ascii="仿宋" w:hAnsi="仿宋" w:eastAsia="仿宋"/>
          <w:b w:val="0"/>
          <w:color w:val="000000"/>
        </w:rPr>
        <w:t>一</w:t>
      </w:r>
      <w:r>
        <w:rPr>
          <w:rStyle w:val="24"/>
          <w:rFonts w:hint="eastAsia" w:ascii="仿宋" w:hAnsi="仿宋" w:eastAsia="仿宋"/>
          <w:b w:val="0"/>
          <w:bCs w:val="0"/>
        </w:rPr>
        <w:t>般公共预算财政拨款支出决算表</w:t>
      </w:r>
      <w:bookmarkEnd w:id="54"/>
    </w:p>
    <w:p w14:paraId="38E386EC">
      <w:pPr>
        <w:pStyle w:val="4"/>
        <w:pageBreakBefore w:val="0"/>
        <w:widowControl w:val="0"/>
        <w:kinsoku/>
        <w:wordWrap/>
        <w:overflowPunct/>
        <w:topLinePunct w:val="0"/>
        <w:autoSpaceDE/>
        <w:autoSpaceDN/>
        <w:bidi w:val="0"/>
        <w:adjustRightInd/>
        <w:snapToGrid/>
        <w:spacing w:line="560" w:lineRule="exact"/>
        <w:textAlignment w:val="auto"/>
        <w:rPr>
          <w:rFonts w:ascii="仿宋" w:hAnsi="仿宋" w:eastAsia="仿宋"/>
          <w:color w:val="000000"/>
        </w:rPr>
      </w:pPr>
      <w:bookmarkStart w:id="55" w:name="_Toc15396625"/>
      <w:r>
        <w:rPr>
          <w:rStyle w:val="24"/>
          <w:rFonts w:hint="eastAsia" w:ascii="仿宋" w:hAnsi="仿宋" w:eastAsia="仿宋"/>
          <w:b w:val="0"/>
          <w:bCs w:val="0"/>
        </w:rPr>
        <w:t>七、</w:t>
      </w:r>
      <w:r>
        <w:rPr>
          <w:rFonts w:hint="eastAsia" w:ascii="仿宋" w:hAnsi="仿宋" w:eastAsia="仿宋"/>
          <w:b w:val="0"/>
          <w:color w:val="000000"/>
        </w:rPr>
        <w:t>一</w:t>
      </w:r>
      <w:r>
        <w:rPr>
          <w:rStyle w:val="24"/>
          <w:rFonts w:hint="eastAsia" w:ascii="仿宋" w:hAnsi="仿宋" w:eastAsia="仿宋"/>
          <w:b w:val="0"/>
          <w:bCs w:val="0"/>
        </w:rPr>
        <w:t>般公共预算财政拨款支出决算明细表</w:t>
      </w:r>
      <w:bookmarkEnd w:id="55"/>
    </w:p>
    <w:p w14:paraId="62B1C9E2">
      <w:pPr>
        <w:pStyle w:val="4"/>
        <w:pageBreakBefore w:val="0"/>
        <w:widowControl w:val="0"/>
        <w:kinsoku/>
        <w:wordWrap/>
        <w:overflowPunct/>
        <w:topLinePunct w:val="0"/>
        <w:autoSpaceDE/>
        <w:autoSpaceDN/>
        <w:bidi w:val="0"/>
        <w:adjustRightInd/>
        <w:snapToGrid/>
        <w:spacing w:line="560" w:lineRule="exact"/>
        <w:textAlignment w:val="auto"/>
        <w:rPr>
          <w:rFonts w:ascii="仿宋" w:hAnsi="仿宋" w:eastAsia="仿宋"/>
          <w:color w:val="000000"/>
        </w:rPr>
      </w:pPr>
      <w:bookmarkStart w:id="56" w:name="_Toc15396626"/>
      <w:r>
        <w:rPr>
          <w:rStyle w:val="24"/>
          <w:rFonts w:hint="eastAsia" w:ascii="仿宋" w:hAnsi="仿宋" w:eastAsia="仿宋"/>
          <w:b w:val="0"/>
          <w:bCs w:val="0"/>
        </w:rPr>
        <w:t>八、</w:t>
      </w:r>
      <w:r>
        <w:rPr>
          <w:rFonts w:hint="eastAsia" w:ascii="仿宋" w:hAnsi="仿宋" w:eastAsia="仿宋"/>
          <w:b w:val="0"/>
          <w:color w:val="000000"/>
        </w:rPr>
        <w:t>一</w:t>
      </w:r>
      <w:r>
        <w:rPr>
          <w:rStyle w:val="24"/>
          <w:rFonts w:hint="eastAsia" w:ascii="仿宋" w:hAnsi="仿宋" w:eastAsia="仿宋"/>
          <w:b w:val="0"/>
          <w:bCs w:val="0"/>
        </w:rPr>
        <w:t>般公共预算财政拨款基本支出决算表</w:t>
      </w:r>
      <w:bookmarkEnd w:id="56"/>
    </w:p>
    <w:p w14:paraId="73B12B4F">
      <w:pPr>
        <w:pStyle w:val="4"/>
        <w:pageBreakBefore w:val="0"/>
        <w:widowControl w:val="0"/>
        <w:kinsoku/>
        <w:wordWrap/>
        <w:overflowPunct/>
        <w:topLinePunct w:val="0"/>
        <w:autoSpaceDE/>
        <w:autoSpaceDN/>
        <w:bidi w:val="0"/>
        <w:adjustRightInd/>
        <w:snapToGrid/>
        <w:spacing w:line="560" w:lineRule="exact"/>
        <w:textAlignment w:val="auto"/>
        <w:rPr>
          <w:rFonts w:ascii="仿宋" w:hAnsi="仿宋" w:eastAsia="仿宋"/>
          <w:color w:val="000000"/>
        </w:rPr>
      </w:pPr>
      <w:bookmarkStart w:id="57" w:name="_Toc15396627"/>
      <w:r>
        <w:rPr>
          <w:rStyle w:val="24"/>
          <w:rFonts w:hint="eastAsia" w:ascii="仿宋" w:hAnsi="仿宋" w:eastAsia="仿宋"/>
          <w:b w:val="0"/>
          <w:bCs w:val="0"/>
        </w:rPr>
        <w:t>九、</w:t>
      </w:r>
      <w:r>
        <w:rPr>
          <w:rFonts w:hint="eastAsia" w:ascii="仿宋" w:hAnsi="仿宋" w:eastAsia="仿宋"/>
          <w:b w:val="0"/>
          <w:color w:val="000000"/>
        </w:rPr>
        <w:t>一</w:t>
      </w:r>
      <w:r>
        <w:rPr>
          <w:rStyle w:val="24"/>
          <w:rFonts w:hint="eastAsia" w:ascii="仿宋" w:hAnsi="仿宋" w:eastAsia="仿宋"/>
          <w:b w:val="0"/>
          <w:bCs w:val="0"/>
        </w:rPr>
        <w:t>般公共预算财政拨款项目支出决算表</w:t>
      </w:r>
      <w:bookmarkEnd w:id="57"/>
    </w:p>
    <w:p w14:paraId="127022CE">
      <w:pPr>
        <w:pStyle w:val="4"/>
        <w:pageBreakBefore w:val="0"/>
        <w:widowControl w:val="0"/>
        <w:kinsoku/>
        <w:wordWrap/>
        <w:overflowPunct/>
        <w:topLinePunct w:val="0"/>
        <w:autoSpaceDE/>
        <w:autoSpaceDN/>
        <w:bidi w:val="0"/>
        <w:adjustRightInd/>
        <w:snapToGrid/>
        <w:spacing w:line="560" w:lineRule="exact"/>
        <w:textAlignment w:val="auto"/>
        <w:rPr>
          <w:rFonts w:ascii="仿宋" w:hAnsi="仿宋" w:eastAsia="仿宋"/>
          <w:color w:val="000000"/>
        </w:rPr>
      </w:pPr>
      <w:bookmarkStart w:id="58" w:name="_Toc15396629"/>
      <w:r>
        <w:rPr>
          <w:rStyle w:val="24"/>
          <w:rFonts w:hint="eastAsia" w:ascii="仿宋" w:hAnsi="仿宋" w:eastAsia="仿宋"/>
          <w:b w:val="0"/>
          <w:bCs w:val="0"/>
        </w:rPr>
        <w:t>十、</w:t>
      </w:r>
      <w:r>
        <w:rPr>
          <w:rFonts w:hint="eastAsia" w:ascii="仿宋" w:hAnsi="仿宋" w:eastAsia="仿宋"/>
          <w:b w:val="0"/>
          <w:color w:val="000000"/>
        </w:rPr>
        <w:t>政</w:t>
      </w:r>
      <w:r>
        <w:rPr>
          <w:rStyle w:val="24"/>
          <w:rFonts w:hint="eastAsia" w:ascii="仿宋" w:hAnsi="仿宋" w:eastAsia="仿宋"/>
          <w:b w:val="0"/>
          <w:bCs w:val="0"/>
        </w:rPr>
        <w:t>府性基金预算财政拨款收入支出决算表</w:t>
      </w:r>
      <w:bookmarkEnd w:id="58"/>
    </w:p>
    <w:p w14:paraId="2F813CE8">
      <w:pPr>
        <w:pStyle w:val="4"/>
        <w:pageBreakBefore w:val="0"/>
        <w:widowControl w:val="0"/>
        <w:kinsoku/>
        <w:wordWrap/>
        <w:overflowPunct/>
        <w:topLinePunct w:val="0"/>
        <w:autoSpaceDE/>
        <w:autoSpaceDN/>
        <w:bidi w:val="0"/>
        <w:adjustRightInd/>
        <w:snapToGrid/>
        <w:spacing w:line="560" w:lineRule="exact"/>
        <w:textAlignment w:val="auto"/>
        <w:rPr>
          <w:rStyle w:val="24"/>
          <w:rFonts w:ascii="仿宋" w:hAnsi="仿宋" w:eastAsia="仿宋"/>
          <w:b w:val="0"/>
          <w:bCs w:val="0"/>
        </w:rPr>
      </w:pPr>
      <w:bookmarkStart w:id="59" w:name="_Toc15396631"/>
      <w:r>
        <w:rPr>
          <w:rStyle w:val="24"/>
          <w:rFonts w:hint="eastAsia" w:ascii="仿宋" w:hAnsi="仿宋" w:eastAsia="仿宋"/>
          <w:b w:val="0"/>
          <w:bCs w:val="0"/>
        </w:rPr>
        <w:t>十</w:t>
      </w:r>
      <w:r>
        <w:rPr>
          <w:rStyle w:val="24"/>
          <w:rFonts w:hint="eastAsia" w:ascii="仿宋" w:hAnsi="仿宋" w:eastAsia="仿宋"/>
          <w:b w:val="0"/>
          <w:bCs w:val="0"/>
          <w:lang w:val="en-US" w:eastAsia="zh-CN"/>
        </w:rPr>
        <w:t>一</w:t>
      </w:r>
      <w:r>
        <w:rPr>
          <w:rStyle w:val="24"/>
          <w:rFonts w:hint="eastAsia" w:ascii="仿宋" w:hAnsi="仿宋" w:eastAsia="仿宋"/>
          <w:b w:val="0"/>
          <w:bCs w:val="0"/>
        </w:rPr>
        <w:t>、</w:t>
      </w:r>
      <w:r>
        <w:rPr>
          <w:rFonts w:hint="eastAsia" w:ascii="仿宋" w:hAnsi="仿宋" w:eastAsia="仿宋"/>
          <w:b w:val="0"/>
          <w:color w:val="000000"/>
        </w:rPr>
        <w:t>国</w:t>
      </w:r>
      <w:r>
        <w:rPr>
          <w:rStyle w:val="24"/>
          <w:rFonts w:hint="eastAsia" w:ascii="仿宋" w:hAnsi="仿宋" w:eastAsia="仿宋"/>
          <w:b w:val="0"/>
          <w:bCs w:val="0"/>
        </w:rPr>
        <w:t>有资本经营预算财政拨款收入支出决算表</w:t>
      </w:r>
      <w:bookmarkEnd w:id="59"/>
    </w:p>
    <w:p w14:paraId="5AF11881">
      <w:pPr>
        <w:pageBreakBefore w:val="0"/>
        <w:widowControl w:val="0"/>
        <w:kinsoku/>
        <w:wordWrap/>
        <w:overflowPunct/>
        <w:topLinePunct w:val="0"/>
        <w:autoSpaceDE/>
        <w:autoSpaceDN/>
        <w:bidi w:val="0"/>
        <w:adjustRightInd/>
        <w:snapToGrid/>
        <w:spacing w:line="560" w:lineRule="exact"/>
        <w:textAlignment w:val="auto"/>
        <w:rPr>
          <w:rStyle w:val="24"/>
          <w:rFonts w:hint="eastAsia" w:ascii="仿宋" w:hAnsi="仿宋" w:eastAsia="仿宋"/>
          <w:b w:val="0"/>
          <w:bCs w:val="0"/>
        </w:rPr>
      </w:pPr>
      <w:r>
        <w:rPr>
          <w:rStyle w:val="24"/>
          <w:rFonts w:hint="eastAsia" w:ascii="仿宋" w:hAnsi="仿宋" w:eastAsia="仿宋"/>
          <w:b w:val="0"/>
          <w:bCs w:val="0"/>
        </w:rPr>
        <w:t>十</w:t>
      </w:r>
      <w:r>
        <w:rPr>
          <w:rStyle w:val="24"/>
          <w:rFonts w:hint="eastAsia" w:ascii="仿宋" w:hAnsi="仿宋" w:eastAsia="仿宋"/>
          <w:b w:val="0"/>
          <w:bCs w:val="0"/>
          <w:lang w:val="en-US" w:eastAsia="zh-CN"/>
        </w:rPr>
        <w:t>二</w:t>
      </w:r>
      <w:r>
        <w:rPr>
          <w:rStyle w:val="24"/>
          <w:rFonts w:hint="eastAsia" w:ascii="仿宋" w:hAnsi="仿宋" w:eastAsia="仿宋"/>
          <w:b w:val="0"/>
          <w:bCs w:val="0"/>
        </w:rPr>
        <w:t>、国有资本经营预算财政拨款支出决算表</w:t>
      </w:r>
    </w:p>
    <w:p w14:paraId="4F95DC3E">
      <w:pPr>
        <w:pStyle w:val="9"/>
        <w:rPr>
          <w:rStyle w:val="24"/>
          <w:rFonts w:hint="eastAsia" w:ascii="仿宋" w:hAnsi="仿宋" w:eastAsia="仿宋"/>
          <w:b w:val="0"/>
          <w:bCs w:val="0"/>
        </w:rPr>
      </w:pPr>
    </w:p>
    <w:p w14:paraId="75FC686E">
      <w:pPr>
        <w:pStyle w:val="9"/>
        <w:numPr>
          <w:ilvl w:val="0"/>
          <w:numId w:val="7"/>
        </w:numPr>
        <w:rPr>
          <w:rStyle w:val="24"/>
          <w:rFonts w:hint="default" w:ascii="仿宋" w:hAnsi="仿宋" w:eastAsia="仿宋"/>
          <w:b w:val="0"/>
          <w:bCs w:val="0"/>
          <w:lang w:val="en-US" w:eastAsia="zh-CN"/>
        </w:rPr>
      </w:pPr>
      <w:bookmarkStart w:id="60" w:name="_Toc15396628"/>
      <w:r>
        <w:rPr>
          <w:rStyle w:val="24"/>
          <w:rFonts w:hint="eastAsia" w:ascii="仿宋" w:hAnsi="仿宋" w:eastAsia="仿宋"/>
          <w:b w:val="0"/>
          <w:bCs w:val="0"/>
        </w:rPr>
        <w:t>财政拨款“三公”经费支出决算表</w:t>
      </w:r>
      <w:bookmarkEnd w:id="60"/>
    </w:p>
    <w:p w14:paraId="0C389BF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60E731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626AAD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97D017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A43CEB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75648" behindDoc="1" locked="0" layoutInCell="1" allowOverlap="1">
            <wp:simplePos x="0" y="0"/>
            <wp:positionH relativeFrom="column">
              <wp:posOffset>-795020</wp:posOffset>
            </wp:positionH>
            <wp:positionV relativeFrom="paragraph">
              <wp:posOffset>74295</wp:posOffset>
            </wp:positionV>
            <wp:extent cx="6983095" cy="5358765"/>
            <wp:effectExtent l="0" t="0" r="8255" b="13335"/>
            <wp:wrapNone/>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41"/>
                    <a:stretch>
                      <a:fillRect/>
                    </a:stretch>
                  </pic:blipFill>
                  <pic:spPr>
                    <a:xfrm>
                      <a:off x="0" y="0"/>
                      <a:ext cx="6983095" cy="5358765"/>
                    </a:xfrm>
                    <a:prstGeom prst="rect">
                      <a:avLst/>
                    </a:prstGeom>
                    <a:noFill/>
                    <a:ln>
                      <a:noFill/>
                    </a:ln>
                  </pic:spPr>
                </pic:pic>
              </a:graphicData>
            </a:graphic>
          </wp:anchor>
        </w:drawing>
      </w:r>
    </w:p>
    <w:p w14:paraId="5515B27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79EAB5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27A488B">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A883C7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A9EA74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EC99141">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D78116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C84BF5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C80E29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C8AB1F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7583C0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F52B81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6611AB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6FF34C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FA6D59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3BA4C9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6703F8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1C10AA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0EB35D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7ABBA31">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5EB32A5">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29A09E8F">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sectPr>
          <w:footerReference r:id="rId10" w:type="default"/>
          <w:footerReference r:id="rId11" w:type="even"/>
          <w:pgSz w:w="11906" w:h="16838"/>
          <w:pgMar w:top="1440" w:right="1797" w:bottom="1474" w:left="1797" w:header="851" w:footer="794" w:gutter="0"/>
          <w:pgNumType w:fmt="numberInDash" w:start="26"/>
          <w:cols w:space="720" w:num="1"/>
          <w:docGrid w:type="lines" w:linePitch="312" w:charSpace="0"/>
        </w:sectPr>
      </w:pPr>
    </w:p>
    <w:p w14:paraId="28BEEE75">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r>
        <w:drawing>
          <wp:anchor distT="0" distB="0" distL="114300" distR="114300" simplePos="0" relativeHeight="251664384" behindDoc="1" locked="0" layoutInCell="1" allowOverlap="1">
            <wp:simplePos x="0" y="0"/>
            <wp:positionH relativeFrom="column">
              <wp:posOffset>7620</wp:posOffset>
            </wp:positionH>
            <wp:positionV relativeFrom="paragraph">
              <wp:posOffset>137795</wp:posOffset>
            </wp:positionV>
            <wp:extent cx="8931910" cy="4684395"/>
            <wp:effectExtent l="0" t="0" r="2540" b="1905"/>
            <wp:wrapNone/>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42"/>
                    <a:stretch>
                      <a:fillRect/>
                    </a:stretch>
                  </pic:blipFill>
                  <pic:spPr>
                    <a:xfrm>
                      <a:off x="0" y="0"/>
                      <a:ext cx="8931910" cy="4684395"/>
                    </a:xfrm>
                    <a:prstGeom prst="rect">
                      <a:avLst/>
                    </a:prstGeom>
                    <a:noFill/>
                    <a:ln>
                      <a:noFill/>
                    </a:ln>
                  </pic:spPr>
                </pic:pic>
              </a:graphicData>
            </a:graphic>
          </wp:anchor>
        </w:drawing>
      </w:r>
    </w:p>
    <w:p w14:paraId="1B3E0EE0">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322BF7FE">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7F4AF755">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5CEB68D2">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4D0149D5">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5C19742B">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187CC639">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7C79D0AA">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68AC70FC">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416DD61B">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3E06453D">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14FD2736">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5E073A4C">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6F3F87F5">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r>
        <w:drawing>
          <wp:anchor distT="0" distB="0" distL="114300" distR="114300" simplePos="0" relativeHeight="251664384" behindDoc="1" locked="0" layoutInCell="1" allowOverlap="1">
            <wp:simplePos x="0" y="0"/>
            <wp:positionH relativeFrom="column">
              <wp:posOffset>120015</wp:posOffset>
            </wp:positionH>
            <wp:positionV relativeFrom="paragraph">
              <wp:posOffset>80010</wp:posOffset>
            </wp:positionV>
            <wp:extent cx="8658225" cy="5076825"/>
            <wp:effectExtent l="0" t="0" r="9525" b="9525"/>
            <wp:wrapNone/>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43"/>
                    <a:stretch>
                      <a:fillRect/>
                    </a:stretch>
                  </pic:blipFill>
                  <pic:spPr>
                    <a:xfrm>
                      <a:off x="0" y="0"/>
                      <a:ext cx="8658225" cy="5076825"/>
                    </a:xfrm>
                    <a:prstGeom prst="rect">
                      <a:avLst/>
                    </a:prstGeom>
                    <a:noFill/>
                    <a:ln>
                      <a:noFill/>
                    </a:ln>
                  </pic:spPr>
                </pic:pic>
              </a:graphicData>
            </a:graphic>
          </wp:anchor>
        </w:drawing>
      </w:r>
    </w:p>
    <w:p w14:paraId="4D834CE6">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393DAC38">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20A43096">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2F2B97CE">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190924CB">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16081C8A">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2B720A06">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75129F42">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224320FF">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53025201">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1ABE4D59">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023F5818">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59AEFAA5">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0D9A6A71">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r>
        <w:drawing>
          <wp:anchor distT="0" distB="0" distL="114300" distR="114300" simplePos="0" relativeHeight="251664384" behindDoc="1" locked="0" layoutInCell="1" allowOverlap="1">
            <wp:simplePos x="0" y="0"/>
            <wp:positionH relativeFrom="column">
              <wp:posOffset>55880</wp:posOffset>
            </wp:positionH>
            <wp:positionV relativeFrom="paragraph">
              <wp:posOffset>62865</wp:posOffset>
            </wp:positionV>
            <wp:extent cx="8840470" cy="5652135"/>
            <wp:effectExtent l="0" t="0" r="17780" b="5715"/>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44"/>
                    <a:stretch>
                      <a:fillRect/>
                    </a:stretch>
                  </pic:blipFill>
                  <pic:spPr>
                    <a:xfrm>
                      <a:off x="0" y="0"/>
                      <a:ext cx="8840470" cy="5652135"/>
                    </a:xfrm>
                    <a:prstGeom prst="rect">
                      <a:avLst/>
                    </a:prstGeom>
                    <a:noFill/>
                    <a:ln>
                      <a:noFill/>
                    </a:ln>
                  </pic:spPr>
                </pic:pic>
              </a:graphicData>
            </a:graphic>
          </wp:anchor>
        </w:drawing>
      </w:r>
    </w:p>
    <w:p w14:paraId="65F7E652">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0D48F75D">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09B62C61">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335FF2A1">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141BCC49">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7A43AE56">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78DF730B">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771ECCD5">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532A42C9">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0E321D8F">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34DA5DE7">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3E35732C">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76C4A198">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16D8A1AC">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r>
        <w:drawing>
          <wp:anchor distT="0" distB="0" distL="114300" distR="114300" simplePos="0" relativeHeight="251664384" behindDoc="1" locked="0" layoutInCell="1" allowOverlap="1">
            <wp:simplePos x="0" y="0"/>
            <wp:positionH relativeFrom="column">
              <wp:posOffset>-110490</wp:posOffset>
            </wp:positionH>
            <wp:positionV relativeFrom="paragraph">
              <wp:posOffset>-43180</wp:posOffset>
            </wp:positionV>
            <wp:extent cx="9102090" cy="5241290"/>
            <wp:effectExtent l="0" t="0" r="3810" b="16510"/>
            <wp:wrapNone/>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45"/>
                    <a:stretch>
                      <a:fillRect/>
                    </a:stretch>
                  </pic:blipFill>
                  <pic:spPr>
                    <a:xfrm>
                      <a:off x="0" y="0"/>
                      <a:ext cx="9102090" cy="5241290"/>
                    </a:xfrm>
                    <a:prstGeom prst="rect">
                      <a:avLst/>
                    </a:prstGeom>
                    <a:noFill/>
                    <a:ln>
                      <a:noFill/>
                    </a:ln>
                  </pic:spPr>
                </pic:pic>
              </a:graphicData>
            </a:graphic>
          </wp:anchor>
        </w:drawing>
      </w:r>
    </w:p>
    <w:p w14:paraId="54CD11AD">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1EFE06CF">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739291E2">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3C7BB85E">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1BB52EA3">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0A2B5F96">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461D0333">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533E3BB2">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1AAD1B6A">
      <w:pPr>
        <w:pStyle w:val="9"/>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b w:val="0"/>
          <w:bCs w:val="0"/>
          <w:sz w:val="32"/>
          <w:szCs w:val="32"/>
          <w:lang w:val="en-US" w:eastAsia="zh-CN"/>
        </w:rPr>
      </w:pPr>
    </w:p>
    <w:p w14:paraId="2EBC46F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58FE11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E0330B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7DF25D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58F80E1">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-55245</wp:posOffset>
            </wp:positionH>
            <wp:positionV relativeFrom="paragraph">
              <wp:posOffset>121285</wp:posOffset>
            </wp:positionV>
            <wp:extent cx="9015095" cy="5313680"/>
            <wp:effectExtent l="0" t="0" r="14605" b="1270"/>
            <wp:wrapNone/>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46"/>
                    <a:stretch>
                      <a:fillRect/>
                    </a:stretch>
                  </pic:blipFill>
                  <pic:spPr>
                    <a:xfrm>
                      <a:off x="0" y="0"/>
                      <a:ext cx="9015095" cy="5313680"/>
                    </a:xfrm>
                    <a:prstGeom prst="rect">
                      <a:avLst/>
                    </a:prstGeom>
                    <a:noFill/>
                    <a:ln>
                      <a:noFill/>
                    </a:ln>
                  </pic:spPr>
                </pic:pic>
              </a:graphicData>
            </a:graphic>
          </wp:anchor>
        </w:drawing>
      </w:r>
    </w:p>
    <w:p w14:paraId="7AFBEBA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6CB12E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D49F29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779877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B142121">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FEC963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9E02DA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6A19C2A">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48EE01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56C464B">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46AADD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318D75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2E7B55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4B92AD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-15875</wp:posOffset>
            </wp:positionH>
            <wp:positionV relativeFrom="paragraph">
              <wp:posOffset>144780</wp:posOffset>
            </wp:positionV>
            <wp:extent cx="9008110" cy="2102485"/>
            <wp:effectExtent l="0" t="0" r="2540" b="12065"/>
            <wp:wrapNone/>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47"/>
                    <a:stretch>
                      <a:fillRect/>
                    </a:stretch>
                  </pic:blipFill>
                  <pic:spPr>
                    <a:xfrm>
                      <a:off x="0" y="0"/>
                      <a:ext cx="9008110" cy="2102485"/>
                    </a:xfrm>
                    <a:prstGeom prst="rect">
                      <a:avLst/>
                    </a:prstGeom>
                    <a:noFill/>
                    <a:ln>
                      <a:noFill/>
                    </a:ln>
                  </pic:spPr>
                </pic:pic>
              </a:graphicData>
            </a:graphic>
          </wp:anchor>
        </w:drawing>
      </w:r>
    </w:p>
    <w:p w14:paraId="053EF896">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39DD1F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F3D8FAB">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C43F26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FD5D49B">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437B9C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CA2EB2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7E9466A">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11E666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391A3C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290868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5984A8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sectPr>
          <w:footerReference r:id="rId12" w:type="default"/>
          <w:footerReference r:id="rId13" w:type="even"/>
          <w:pgSz w:w="16838" w:h="11906" w:orient="landscape"/>
          <w:pgMar w:top="1797" w:right="1440" w:bottom="1797" w:left="1474" w:header="851" w:footer="794" w:gutter="0"/>
          <w:pgNumType w:fmt="numberInDash" w:start="38"/>
          <w:cols w:space="720" w:num="1"/>
          <w:docGrid w:type="lines" w:linePitch="312" w:charSpace="0"/>
        </w:sectPr>
      </w:pPr>
    </w:p>
    <w:p w14:paraId="4169948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-452755</wp:posOffset>
            </wp:positionH>
            <wp:positionV relativeFrom="paragraph">
              <wp:posOffset>116205</wp:posOffset>
            </wp:positionV>
            <wp:extent cx="6249035" cy="5274310"/>
            <wp:effectExtent l="0" t="0" r="18415" b="2540"/>
            <wp:wrapNone/>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48"/>
                    <a:stretch>
                      <a:fillRect/>
                    </a:stretch>
                  </pic:blipFill>
                  <pic:spPr>
                    <a:xfrm>
                      <a:off x="0" y="0"/>
                      <a:ext cx="6249035" cy="5274310"/>
                    </a:xfrm>
                    <a:prstGeom prst="rect">
                      <a:avLst/>
                    </a:prstGeom>
                    <a:noFill/>
                    <a:ln>
                      <a:noFill/>
                    </a:ln>
                  </pic:spPr>
                </pic:pic>
              </a:graphicData>
            </a:graphic>
          </wp:anchor>
        </w:drawing>
      </w:r>
    </w:p>
    <w:p w14:paraId="6ADAAAC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34788BA">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93F0BD1">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692E72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ECC6F1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EF2A71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8095496">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649201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9FF0EF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E101E2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70DE61A">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573354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6DF24B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2E90EA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DFC897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CDE7B2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212A8A1">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605D48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2DEF2A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D07055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B822A3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B1E5ED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sectPr>
          <w:footerReference r:id="rId14" w:type="default"/>
          <w:footerReference r:id="rId15" w:type="even"/>
          <w:pgSz w:w="11906" w:h="16838"/>
          <w:pgMar w:top="1440" w:right="1797" w:bottom="1474" w:left="1797" w:header="851" w:footer="794" w:gutter="0"/>
          <w:pgNumType w:fmt="numberInDash" w:start="44"/>
          <w:cols w:space="720" w:num="1"/>
          <w:docGrid w:type="lines" w:linePitch="312" w:charSpace="0"/>
        </w:sectPr>
      </w:pPr>
    </w:p>
    <w:p w14:paraId="7FD81DA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3230245</wp:posOffset>
            </wp:positionH>
            <wp:positionV relativeFrom="paragraph">
              <wp:posOffset>0</wp:posOffset>
            </wp:positionV>
            <wp:extent cx="2676525" cy="457200"/>
            <wp:effectExtent l="0" t="0" r="9525" b="0"/>
            <wp:wrapNone/>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49"/>
                    <a:stretch>
                      <a:fillRect/>
                    </a:stretch>
                  </pic:blipFill>
                  <pic:spPr>
                    <a:xfrm>
                      <a:off x="0" y="0"/>
                      <a:ext cx="2676525" cy="457200"/>
                    </a:xfrm>
                    <a:prstGeom prst="rect">
                      <a:avLst/>
                    </a:prstGeom>
                    <a:noFill/>
                    <a:ln>
                      <a:noFill/>
                    </a:ln>
                  </pic:spPr>
                </pic:pic>
              </a:graphicData>
            </a:graphic>
          </wp:anchor>
        </w:drawing>
      </w:r>
    </w:p>
    <w:p w14:paraId="0B0FC3B6">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-143510</wp:posOffset>
            </wp:positionH>
            <wp:positionV relativeFrom="paragraph">
              <wp:posOffset>107315</wp:posOffset>
            </wp:positionV>
            <wp:extent cx="9050020" cy="3967480"/>
            <wp:effectExtent l="0" t="0" r="17780" b="13970"/>
            <wp:wrapNone/>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50"/>
                    <a:stretch>
                      <a:fillRect/>
                    </a:stretch>
                  </pic:blipFill>
                  <pic:spPr>
                    <a:xfrm>
                      <a:off x="0" y="0"/>
                      <a:ext cx="9050020" cy="3967480"/>
                    </a:xfrm>
                    <a:prstGeom prst="rect">
                      <a:avLst/>
                    </a:prstGeom>
                    <a:noFill/>
                    <a:ln>
                      <a:noFill/>
                    </a:ln>
                  </pic:spPr>
                </pic:pic>
              </a:graphicData>
            </a:graphic>
          </wp:anchor>
        </w:drawing>
      </w:r>
    </w:p>
    <w:p w14:paraId="66FF5EE1">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3EBC9B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9ABA0D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C73A1B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4AF68D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151242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57FF30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C6C769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9F4F3D1">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10BF466">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EF29856">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67B7C8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2F696E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-746760</wp:posOffset>
            </wp:positionH>
            <wp:positionV relativeFrom="paragraph">
              <wp:posOffset>128270</wp:posOffset>
            </wp:positionV>
            <wp:extent cx="10308590" cy="2967355"/>
            <wp:effectExtent l="0" t="0" r="16510" b="4445"/>
            <wp:wrapNone/>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51"/>
                    <a:stretch>
                      <a:fillRect/>
                    </a:stretch>
                  </pic:blipFill>
                  <pic:spPr>
                    <a:xfrm>
                      <a:off x="0" y="0"/>
                      <a:ext cx="10308590" cy="2967355"/>
                    </a:xfrm>
                    <a:prstGeom prst="rect">
                      <a:avLst/>
                    </a:prstGeom>
                    <a:noFill/>
                    <a:ln>
                      <a:noFill/>
                    </a:ln>
                  </pic:spPr>
                </pic:pic>
              </a:graphicData>
            </a:graphic>
          </wp:anchor>
        </w:drawing>
      </w:r>
    </w:p>
    <w:p w14:paraId="181F72FB">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33155B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BF8FD0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E9AB4BA">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146E99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E9C05B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280E7C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49F2A3A">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5591E4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49633E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C23C3E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44D1CE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401286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DA806C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31750</wp:posOffset>
            </wp:positionH>
            <wp:positionV relativeFrom="paragraph">
              <wp:posOffset>57785</wp:posOffset>
            </wp:positionV>
            <wp:extent cx="8840470" cy="3677285"/>
            <wp:effectExtent l="0" t="0" r="17780" b="18415"/>
            <wp:wrapNone/>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52"/>
                    <a:stretch>
                      <a:fillRect/>
                    </a:stretch>
                  </pic:blipFill>
                  <pic:spPr>
                    <a:xfrm>
                      <a:off x="0" y="0"/>
                      <a:ext cx="8840470" cy="3677285"/>
                    </a:xfrm>
                    <a:prstGeom prst="rect">
                      <a:avLst/>
                    </a:prstGeom>
                    <a:noFill/>
                    <a:ln>
                      <a:noFill/>
                    </a:ln>
                  </pic:spPr>
                </pic:pic>
              </a:graphicData>
            </a:graphic>
          </wp:anchor>
        </w:drawing>
      </w:r>
    </w:p>
    <w:p w14:paraId="5BC7937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AF3A74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52C5C4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2C97AA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A2DE3D1">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C6814E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72B8FE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071084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93DF56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9F0CF9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8E2B0D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9F1C9C6">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27CC42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A29E3D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626745</wp:posOffset>
            </wp:positionH>
            <wp:positionV relativeFrom="paragraph">
              <wp:posOffset>-114935</wp:posOffset>
            </wp:positionV>
            <wp:extent cx="7620000" cy="4200525"/>
            <wp:effectExtent l="0" t="0" r="0" b="9525"/>
            <wp:wrapNone/>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53"/>
                    <a:stretch>
                      <a:fillRect/>
                    </a:stretch>
                  </pic:blipFill>
                  <pic:spPr>
                    <a:xfrm>
                      <a:off x="0" y="0"/>
                      <a:ext cx="7620000" cy="4200525"/>
                    </a:xfrm>
                    <a:prstGeom prst="rect">
                      <a:avLst/>
                    </a:prstGeom>
                    <a:noFill/>
                    <a:ln>
                      <a:noFill/>
                    </a:ln>
                  </pic:spPr>
                </pic:pic>
              </a:graphicData>
            </a:graphic>
          </wp:anchor>
        </w:drawing>
      </w:r>
    </w:p>
    <w:p w14:paraId="6E5CFB6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D478976">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2A6BC64D">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49D0E329">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52BF68CE">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6D0CA2E1">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24A9699D">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31D435BC">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045B704E">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523C2830">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0626E6E6">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2C29661A">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2E11F476">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6FFD7599">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-7620</wp:posOffset>
            </wp:positionH>
            <wp:positionV relativeFrom="paragraph">
              <wp:posOffset>43815</wp:posOffset>
            </wp:positionV>
            <wp:extent cx="8831580" cy="3818890"/>
            <wp:effectExtent l="0" t="0" r="7620" b="10160"/>
            <wp:wrapNone/>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54"/>
                    <a:stretch>
                      <a:fillRect/>
                    </a:stretch>
                  </pic:blipFill>
                  <pic:spPr>
                    <a:xfrm>
                      <a:off x="0" y="0"/>
                      <a:ext cx="8831580" cy="3818890"/>
                    </a:xfrm>
                    <a:prstGeom prst="rect">
                      <a:avLst/>
                    </a:prstGeom>
                    <a:noFill/>
                    <a:ln>
                      <a:noFill/>
                    </a:ln>
                  </pic:spPr>
                </pic:pic>
              </a:graphicData>
            </a:graphic>
          </wp:anchor>
        </w:drawing>
      </w:r>
    </w:p>
    <w:p w14:paraId="20E1AF5C">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63D8D9F9">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5D8E8626">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6BF36E85">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65D9CD76">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2D8BBD16">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4B6B3E14">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5D662BB2">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432D1317">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0CCA76FF">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715D9782">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409B1C58">
      <w:pPr>
        <w:pStyle w:val="9"/>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b w:val="0"/>
          <w:bCs w:val="0"/>
          <w:sz w:val="32"/>
          <w:szCs w:val="32"/>
          <w:lang w:eastAsia="zh-CN"/>
        </w:rPr>
      </w:pPr>
    </w:p>
    <w:p w14:paraId="0E4A2DE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93E67C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-72390</wp:posOffset>
            </wp:positionH>
            <wp:positionV relativeFrom="paragraph">
              <wp:posOffset>-50165</wp:posOffset>
            </wp:positionV>
            <wp:extent cx="9037320" cy="3368675"/>
            <wp:effectExtent l="0" t="0" r="11430" b="3175"/>
            <wp:wrapNone/>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55"/>
                    <a:stretch>
                      <a:fillRect/>
                    </a:stretch>
                  </pic:blipFill>
                  <pic:spPr>
                    <a:xfrm>
                      <a:off x="0" y="0"/>
                      <a:ext cx="9037320" cy="3368675"/>
                    </a:xfrm>
                    <a:prstGeom prst="rect">
                      <a:avLst/>
                    </a:prstGeom>
                    <a:noFill/>
                    <a:ln>
                      <a:noFill/>
                    </a:ln>
                  </pic:spPr>
                </pic:pic>
              </a:graphicData>
            </a:graphic>
          </wp:anchor>
        </w:drawing>
      </w:r>
    </w:p>
    <w:p w14:paraId="5B18B25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C1562F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BF547A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FE04EE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99ADED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6A728D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03934E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B987DB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55F76E1">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EBAC22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748A8C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5C801AA">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4D1BF6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776DFA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-39370</wp:posOffset>
            </wp:positionH>
            <wp:positionV relativeFrom="paragraph">
              <wp:posOffset>-27305</wp:posOffset>
            </wp:positionV>
            <wp:extent cx="8841105" cy="5810885"/>
            <wp:effectExtent l="0" t="0" r="17145" b="18415"/>
            <wp:wrapNone/>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56"/>
                    <a:stretch>
                      <a:fillRect/>
                    </a:stretch>
                  </pic:blipFill>
                  <pic:spPr>
                    <a:xfrm>
                      <a:off x="0" y="0"/>
                      <a:ext cx="8841105" cy="5810885"/>
                    </a:xfrm>
                    <a:prstGeom prst="rect">
                      <a:avLst/>
                    </a:prstGeom>
                    <a:noFill/>
                    <a:ln>
                      <a:noFill/>
                    </a:ln>
                  </pic:spPr>
                </pic:pic>
              </a:graphicData>
            </a:graphic>
          </wp:anchor>
        </w:drawing>
      </w:r>
    </w:p>
    <w:p w14:paraId="587D11D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198341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941500A">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CD5D1B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AFBCA9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1F711F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36E49D1">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DEC57E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466A6A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38AE5A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C55449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AF0727B">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1494F0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sectPr>
          <w:footerReference r:id="rId16" w:type="default"/>
          <w:footerReference r:id="rId17" w:type="even"/>
          <w:pgSz w:w="16838" w:h="11906" w:orient="landscape"/>
          <w:pgMar w:top="1797" w:right="1440" w:bottom="1797" w:left="1474" w:header="851" w:footer="794" w:gutter="0"/>
          <w:pgNumType w:fmt="numberInDash" w:start="45"/>
          <w:cols w:space="720" w:num="1"/>
          <w:docGrid w:type="lines" w:linePitch="312" w:charSpace="0"/>
        </w:sectPr>
      </w:pPr>
    </w:p>
    <w:p w14:paraId="07904E1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-349885</wp:posOffset>
            </wp:positionH>
            <wp:positionV relativeFrom="paragraph">
              <wp:posOffset>189230</wp:posOffset>
            </wp:positionV>
            <wp:extent cx="5953125" cy="3149600"/>
            <wp:effectExtent l="0" t="0" r="9525" b="12700"/>
            <wp:wrapNone/>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57"/>
                    <a:stretch>
                      <a:fillRect/>
                    </a:stretch>
                  </pic:blipFill>
                  <pic:spPr>
                    <a:xfrm>
                      <a:off x="0" y="0"/>
                      <a:ext cx="5953125" cy="3149600"/>
                    </a:xfrm>
                    <a:prstGeom prst="rect">
                      <a:avLst/>
                    </a:prstGeom>
                    <a:noFill/>
                    <a:ln>
                      <a:noFill/>
                    </a:ln>
                  </pic:spPr>
                </pic:pic>
              </a:graphicData>
            </a:graphic>
          </wp:anchor>
        </w:drawing>
      </w:r>
    </w:p>
    <w:p w14:paraId="370907C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62C35F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114A54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7615AD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F14A3B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24BB57B">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2D1A03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9B414E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745393B">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A58B7BB">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075449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942B7F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FD05EAB">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D2382E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663B3F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6923C9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sectPr>
          <w:footerReference r:id="rId18" w:type="default"/>
          <w:footerReference r:id="rId19" w:type="even"/>
          <w:pgSz w:w="11906" w:h="16838"/>
          <w:pgMar w:top="1440" w:right="1797" w:bottom="1474" w:left="1797" w:header="851" w:footer="794" w:gutter="0"/>
          <w:pgNumType w:fmt="numberInDash" w:start="52"/>
          <w:cols w:space="720" w:num="1"/>
          <w:docGrid w:type="lines" w:linePitch="312" w:charSpace="0"/>
        </w:sectPr>
      </w:pPr>
    </w:p>
    <w:p w14:paraId="40AC111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104140</wp:posOffset>
            </wp:positionH>
            <wp:positionV relativeFrom="paragraph">
              <wp:posOffset>192405</wp:posOffset>
            </wp:positionV>
            <wp:extent cx="8274050" cy="1663065"/>
            <wp:effectExtent l="0" t="0" r="12700" b="13335"/>
            <wp:wrapNone/>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58"/>
                    <a:stretch>
                      <a:fillRect/>
                    </a:stretch>
                  </pic:blipFill>
                  <pic:spPr>
                    <a:xfrm>
                      <a:off x="0" y="0"/>
                      <a:ext cx="8274050" cy="1663065"/>
                    </a:xfrm>
                    <a:prstGeom prst="rect">
                      <a:avLst/>
                    </a:prstGeom>
                    <a:noFill/>
                    <a:ln>
                      <a:noFill/>
                    </a:ln>
                  </pic:spPr>
                </pic:pic>
              </a:graphicData>
            </a:graphic>
          </wp:anchor>
        </w:drawing>
      </w:r>
    </w:p>
    <w:p w14:paraId="3982F6C1">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5FF891A">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0A570F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4C0458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1579D2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01437BA">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127C1E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1222375</wp:posOffset>
            </wp:positionH>
            <wp:positionV relativeFrom="paragraph">
              <wp:posOffset>330200</wp:posOffset>
            </wp:positionV>
            <wp:extent cx="6457950" cy="1857375"/>
            <wp:effectExtent l="0" t="0" r="0" b="9525"/>
            <wp:wrapNone/>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59"/>
                    <a:stretch>
                      <a:fillRect/>
                    </a:stretch>
                  </pic:blipFill>
                  <pic:spPr>
                    <a:xfrm>
                      <a:off x="0" y="0"/>
                      <a:ext cx="6457950" cy="1857375"/>
                    </a:xfrm>
                    <a:prstGeom prst="rect">
                      <a:avLst/>
                    </a:prstGeom>
                    <a:noFill/>
                    <a:ln>
                      <a:noFill/>
                    </a:ln>
                  </pic:spPr>
                </pic:pic>
              </a:graphicData>
            </a:graphic>
          </wp:anchor>
        </w:drawing>
      </w:r>
    </w:p>
    <w:p w14:paraId="37D16E7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30EEBA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120EC2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87B32B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4D24807">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17000C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F979D8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3215005</wp:posOffset>
            </wp:positionH>
            <wp:positionV relativeFrom="paragraph">
              <wp:posOffset>69850</wp:posOffset>
            </wp:positionV>
            <wp:extent cx="2790825" cy="419100"/>
            <wp:effectExtent l="0" t="0" r="9525" b="0"/>
            <wp:wrapNone/>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60"/>
                    <a:stretch>
                      <a:fillRect/>
                    </a:stretch>
                  </pic:blipFill>
                  <pic:spPr>
                    <a:xfrm>
                      <a:off x="0" y="0"/>
                      <a:ext cx="2790825" cy="419100"/>
                    </a:xfrm>
                    <a:prstGeom prst="rect">
                      <a:avLst/>
                    </a:prstGeom>
                    <a:noFill/>
                    <a:ln>
                      <a:noFill/>
                    </a:ln>
                  </pic:spPr>
                </pic:pic>
              </a:graphicData>
            </a:graphic>
          </wp:anchor>
        </w:drawing>
      </w:r>
    </w:p>
    <w:p w14:paraId="0BE1964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A725D56">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-515620</wp:posOffset>
            </wp:positionH>
            <wp:positionV relativeFrom="paragraph">
              <wp:posOffset>76200</wp:posOffset>
            </wp:positionV>
            <wp:extent cx="9805035" cy="1037590"/>
            <wp:effectExtent l="0" t="0" r="5715" b="10160"/>
            <wp:wrapNone/>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61"/>
                    <a:stretch>
                      <a:fillRect/>
                    </a:stretch>
                  </pic:blipFill>
                  <pic:spPr>
                    <a:xfrm>
                      <a:off x="0" y="0"/>
                      <a:ext cx="9805035" cy="1037590"/>
                    </a:xfrm>
                    <a:prstGeom prst="rect">
                      <a:avLst/>
                    </a:prstGeom>
                    <a:noFill/>
                    <a:ln>
                      <a:noFill/>
                    </a:ln>
                  </pic:spPr>
                </pic:pic>
              </a:graphicData>
            </a:graphic>
          </wp:anchor>
        </w:drawing>
      </w:r>
    </w:p>
    <w:p w14:paraId="51544666">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3D80A3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08D3426">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r>
        <w:drawing>
          <wp:anchor distT="0" distB="0" distL="114300" distR="114300" simplePos="0" relativeHeight="251664384" behindDoc="1" locked="0" layoutInCell="1" allowOverlap="1">
            <wp:simplePos x="0" y="0"/>
            <wp:positionH relativeFrom="column">
              <wp:posOffset>-119380</wp:posOffset>
            </wp:positionH>
            <wp:positionV relativeFrom="paragraph">
              <wp:posOffset>109855</wp:posOffset>
            </wp:positionV>
            <wp:extent cx="9116060" cy="1393825"/>
            <wp:effectExtent l="0" t="0" r="8890" b="15875"/>
            <wp:wrapNone/>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62"/>
                    <a:stretch>
                      <a:fillRect/>
                    </a:stretch>
                  </pic:blipFill>
                  <pic:spPr>
                    <a:xfrm>
                      <a:off x="0" y="0"/>
                      <a:ext cx="9116060" cy="1393825"/>
                    </a:xfrm>
                    <a:prstGeom prst="rect">
                      <a:avLst/>
                    </a:prstGeom>
                    <a:noFill/>
                    <a:ln>
                      <a:noFill/>
                    </a:ln>
                  </pic:spPr>
                </pic:pic>
              </a:graphicData>
            </a:graphic>
          </wp:anchor>
        </w:drawing>
      </w:r>
    </w:p>
    <w:p w14:paraId="77F9959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595D37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99A4884">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78E342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1139EC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47D9F4C6">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sectPr>
          <w:footerReference r:id="rId20" w:type="default"/>
          <w:footerReference r:id="rId21" w:type="even"/>
          <w:pgSz w:w="16838" w:h="11906" w:orient="landscape"/>
          <w:pgMar w:top="1797" w:right="1440" w:bottom="1797" w:left="1474" w:header="851" w:footer="794" w:gutter="0"/>
          <w:pgNumType w:fmt="numberInDash" w:start="53"/>
          <w:cols w:space="720" w:num="1"/>
          <w:docGrid w:type="lines" w:linePitch="312" w:charSpace="0"/>
        </w:sectPr>
      </w:pPr>
    </w:p>
    <w:p w14:paraId="7D04155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8E90EA9">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4284A0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2A52B36">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C6D413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F1C101B">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D5D48F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4ED2265">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9550A5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A18D45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FC6330D">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17E39EA">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38563BE8">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07068EDC">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5A4579E6">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2FAA880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57EF2AE">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CEAA883">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6F6CF40">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7743CC32">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111647BF">
      <w:pPr>
        <w:pStyle w:val="9"/>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仿宋_GB2312" w:cs="Times New Roman"/>
          <w:b w:val="0"/>
          <w:bCs w:val="0"/>
          <w:sz w:val="32"/>
          <w:szCs w:val="32"/>
          <w:lang w:eastAsia="zh-CN"/>
        </w:rPr>
      </w:pPr>
    </w:p>
    <w:p w14:paraId="6FC11AF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left"/>
        <w:textAlignment w:val="auto"/>
        <w:rPr>
          <w:rFonts w:hint="default" w:ascii="仿宋" w:hAnsi="仿宋" w:eastAsia="仿宋" w:cs="仿宋"/>
          <w:b/>
          <w:bCs/>
          <w:sz w:val="28"/>
          <w:szCs w:val="28"/>
          <w:u w:val="single"/>
          <w:lang w:val="en-US" w:eastAsia="zh-CN"/>
        </w:rPr>
      </w:pPr>
      <w:r>
        <w:rPr>
          <w:rFonts w:hint="eastAsia" w:ascii="仿宋" w:hAnsi="仿宋" w:eastAsia="仿宋" w:cs="仿宋"/>
          <w:b/>
          <w:bCs/>
          <w:sz w:val="28"/>
          <w:szCs w:val="28"/>
          <w:u w:val="none"/>
        </w:rPr>
        <w:t>信息公开选项</w:t>
      </w:r>
      <w:r>
        <w:rPr>
          <w:rFonts w:hint="eastAsia" w:ascii="仿宋" w:hAnsi="仿宋" w:eastAsia="仿宋" w:cs="仿宋"/>
          <w:b/>
          <w:bCs/>
          <w:sz w:val="28"/>
          <w:szCs w:val="28"/>
          <w:u w:val="none"/>
          <w:lang w:val="en-US" w:eastAsia="zh-CN"/>
        </w:rPr>
        <w:t>：主动公开</w:t>
      </w:r>
    </w:p>
    <w:p w14:paraId="0408184E">
      <w:pPr>
        <w:pBdr>
          <w:top w:val="single" w:color="auto" w:sz="6" w:space="0"/>
          <w:bottom w:val="single" w:color="auto" w:sz="6" w:space="0"/>
        </w:pBdr>
        <w:tabs>
          <w:tab w:val="left" w:pos="7514"/>
        </w:tabs>
        <w:ind w:firstLine="274" w:firstLineChars="98"/>
        <w:jc w:val="left"/>
        <w:rPr>
          <w:rFonts w:hint="default" w:ascii="Times New Roman" w:hAnsi="Times New Roman" w:eastAsia="仿宋_GB2312" w:cs="Times New Roman"/>
          <w:sz w:val="30"/>
        </w:rPr>
      </w:pPr>
      <w:r>
        <w:rPr>
          <w:rFonts w:hint="eastAsia" w:ascii="仿宋" w:hAnsi="仿宋" w:eastAsia="仿宋" w:cs="仿宋"/>
          <w:sz w:val="28"/>
          <w:szCs w:val="28"/>
        </w:rPr>
        <mc:AlternateContent>
          <mc:Choice Requires="wps">
            <w:drawing>
              <wp:anchor distT="0" distB="0" distL="114300" distR="114300" simplePos="0" relativeHeight="251663360" behindDoc="0" locked="0" layoutInCell="1" allowOverlap="1">
                <wp:simplePos x="0" y="0"/>
                <wp:positionH relativeFrom="column">
                  <wp:posOffset>3027045</wp:posOffset>
                </wp:positionH>
                <wp:positionV relativeFrom="paragraph">
                  <wp:posOffset>187325</wp:posOffset>
                </wp:positionV>
                <wp:extent cx="2183765" cy="384810"/>
                <wp:effectExtent l="0" t="0" r="0" b="0"/>
                <wp:wrapNone/>
                <wp:docPr id="6" name="Text Box 3"/>
                <wp:cNvGraphicFramePr/>
                <a:graphic xmlns:a="http://schemas.openxmlformats.org/drawingml/2006/main">
                  <a:graphicData uri="http://schemas.microsoft.com/office/word/2010/wordprocessingShape">
                    <wps:wsp>
                      <wps:cNvSpPr txBox="1">
                        <a:spLocks noRot="1"/>
                      </wps:cNvSpPr>
                      <wps:spPr>
                        <a:xfrm>
                          <a:off x="0" y="0"/>
                          <a:ext cx="1934210" cy="469900"/>
                        </a:xfrm>
                        <a:prstGeom prst="rect">
                          <a:avLst/>
                        </a:prstGeom>
                        <a:noFill/>
                        <a:ln w="9525">
                          <a:noFill/>
                        </a:ln>
                        <a:effectLst/>
                      </wps:spPr>
                      <wps:txbx>
                        <w:txbxContent>
                          <w:p w14:paraId="4A28E4F3">
                            <w:pPr>
                              <w:tabs>
                                <w:tab w:val="left" w:pos="7514"/>
                              </w:tabs>
                              <w:ind w:firstLine="280" w:firstLineChars="100"/>
                              <w:rPr>
                                <w:rFonts w:eastAsia="仿宋_GB2312"/>
                                <w:sz w:val="30"/>
                              </w:rPr>
                            </w:pPr>
                            <w:r>
                              <w:rPr>
                                <w:rFonts w:hint="default" w:ascii="Times New Roman" w:hAnsi="Times New Roman" w:eastAsia="仿宋" w:cs="Times New Roman"/>
                                <w:sz w:val="28"/>
                                <w:szCs w:val="28"/>
                              </w:rPr>
                              <w:t>20</w:t>
                            </w:r>
                            <w:r>
                              <w:rPr>
                                <w:rFonts w:hint="default" w:ascii="Times New Roman" w:hAnsi="Times New Roman" w:eastAsia="仿宋" w:cs="Times New Roman"/>
                                <w:sz w:val="28"/>
                                <w:szCs w:val="28"/>
                                <w:lang w:val="en-US" w:eastAsia="zh-CN"/>
                              </w:rPr>
                              <w:t>2</w:t>
                            </w:r>
                            <w:r>
                              <w:rPr>
                                <w:rFonts w:hint="eastAsia" w:eastAsia="仿宋" w:cs="Times New Roman"/>
                                <w:sz w:val="28"/>
                                <w:szCs w:val="28"/>
                                <w:lang w:val="en-US" w:eastAsia="zh-CN"/>
                              </w:rPr>
                              <w:t>5</w:t>
                            </w:r>
                            <w:r>
                              <w:rPr>
                                <w:rFonts w:hint="default" w:ascii="Times New Roman" w:hAnsi="Times New Roman" w:eastAsia="仿宋" w:cs="Times New Roman"/>
                                <w:sz w:val="28"/>
                                <w:szCs w:val="28"/>
                              </w:rPr>
                              <w:t>年</w:t>
                            </w:r>
                            <w:r>
                              <w:rPr>
                                <w:rFonts w:hint="eastAsia" w:eastAsia="仿宋" w:cs="Times New Roman"/>
                                <w:sz w:val="28"/>
                                <w:szCs w:val="28"/>
                                <w:lang w:val="en-US" w:eastAsia="zh-CN"/>
                              </w:rPr>
                              <w:t>9</w:t>
                            </w:r>
                            <w:r>
                              <w:rPr>
                                <w:rFonts w:hint="default" w:ascii="Times New Roman" w:hAnsi="Times New Roman" w:eastAsia="仿宋" w:cs="Times New Roman"/>
                                <w:sz w:val="28"/>
                                <w:szCs w:val="28"/>
                              </w:rPr>
                              <w:t>月</w:t>
                            </w:r>
                            <w:r>
                              <w:rPr>
                                <w:rFonts w:hint="eastAsia" w:eastAsia="仿宋" w:cs="Times New Roman"/>
                                <w:sz w:val="28"/>
                                <w:szCs w:val="28"/>
                                <w:lang w:val="en-US" w:eastAsia="zh-CN"/>
                              </w:rPr>
                              <w:t>10</w:t>
                            </w:r>
                            <w:r>
                              <w:rPr>
                                <w:rFonts w:hint="default" w:ascii="Times New Roman" w:hAnsi="Times New Roman" w:eastAsia="仿宋" w:cs="Times New Roman"/>
                                <w:sz w:val="28"/>
                                <w:szCs w:val="28"/>
                                <w:lang w:val="en-US" w:eastAsia="zh-CN"/>
                              </w:rPr>
                              <w:t>日印发</w:t>
                            </w:r>
                            <w:r>
                              <w:rPr>
                                <w:rFonts w:hint="eastAsia" w:ascii="Times New Roman" w:eastAsia="仿宋_GB2312"/>
                                <w:sz w:val="30"/>
                                <w:lang w:val="en-US" w:eastAsia="zh-CN"/>
                              </w:rPr>
                              <w:tab/>
                            </w:r>
                            <w:r>
                              <w:rPr>
                                <w:rFonts w:hint="eastAsia" w:ascii="Times New Roman" w:eastAsia="仿宋_GB2312"/>
                                <w:sz w:val="30"/>
                                <w:lang w:val="en-US" w:eastAsia="zh-CN"/>
                              </w:rPr>
                              <w:t>`</w:t>
                            </w:r>
                            <w:r>
                              <w:rPr>
                                <w:rFonts w:hint="eastAsia" w:eastAsia="仿宋_GB2312"/>
                                <w:sz w:val="30"/>
                              </w:rPr>
                              <w:t>日印</w:t>
                            </w:r>
                          </w:p>
                          <w:p w14:paraId="1EE8FE96">
                            <w:pPr>
                              <w:rPr>
                                <w:sz w:val="30"/>
                              </w:rPr>
                            </w:pPr>
                          </w:p>
                        </w:txbxContent>
                      </wps:txbx>
                      <wps:bodyPr vert="horz" wrap="square" lIns="0" tIns="0" rIns="0" bIns="0" anchor="t" anchorCtr="0" upright="1"/>
                    </wps:wsp>
                  </a:graphicData>
                </a:graphic>
              </wp:anchor>
            </w:drawing>
          </mc:Choice>
          <mc:Fallback>
            <w:pict>
              <v:shape id="Text Box 3" o:spid="_x0000_s1026" o:spt="202" type="#_x0000_t202" style="position:absolute;left:0pt;margin-left:238.35pt;margin-top:14.75pt;height:30.3pt;width:171.95pt;z-index:251663360;mso-width-relative:page;mso-height-relative:page;" filled="f" stroked="f" coordsize="21600,21600" o:gfxdata="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Q9XT3Z&#10;AAAACQEAAA8AAAAAAAAAAQAgAAAAIgAAAGRycy9kb3ducmV2LnhtbFBLAQIUABQAAAAIAIdO4kA8&#10;LOq85gEAAN4DAAAOAAAAAAAAAAEAIAAAACgBAABkcnMvZTJvRG9jLnhtbFBLBQYAAAAABgAGAFkB&#10;AACABQAAAAA=&#10;">
                <v:fill on="f" focussize="0,0"/>
                <v:stroke on="f"/>
                <v:imagedata o:title=""/>
                <o:lock v:ext="edit" rotation="t" aspectratio="f"/>
                <v:textbox inset="0mm,0mm,0mm,0mm">
                  <w:txbxContent>
                    <w:p w14:paraId="4A28E4F3">
                      <w:pPr>
                        <w:tabs>
                          <w:tab w:val="left" w:pos="7514"/>
                        </w:tabs>
                        <w:ind w:firstLine="280" w:firstLineChars="100"/>
                        <w:rPr>
                          <w:rFonts w:eastAsia="仿宋_GB2312"/>
                          <w:sz w:val="30"/>
                        </w:rPr>
                      </w:pPr>
                      <w:r>
                        <w:rPr>
                          <w:rFonts w:hint="default" w:ascii="Times New Roman" w:hAnsi="Times New Roman" w:eastAsia="仿宋" w:cs="Times New Roman"/>
                          <w:sz w:val="28"/>
                          <w:szCs w:val="28"/>
                        </w:rPr>
                        <w:t>20</w:t>
                      </w:r>
                      <w:r>
                        <w:rPr>
                          <w:rFonts w:hint="default" w:ascii="Times New Roman" w:hAnsi="Times New Roman" w:eastAsia="仿宋" w:cs="Times New Roman"/>
                          <w:sz w:val="28"/>
                          <w:szCs w:val="28"/>
                          <w:lang w:val="en-US" w:eastAsia="zh-CN"/>
                        </w:rPr>
                        <w:t>2</w:t>
                      </w:r>
                      <w:r>
                        <w:rPr>
                          <w:rFonts w:hint="eastAsia" w:eastAsia="仿宋" w:cs="Times New Roman"/>
                          <w:sz w:val="28"/>
                          <w:szCs w:val="28"/>
                          <w:lang w:val="en-US" w:eastAsia="zh-CN"/>
                        </w:rPr>
                        <w:t>5</w:t>
                      </w:r>
                      <w:r>
                        <w:rPr>
                          <w:rFonts w:hint="default" w:ascii="Times New Roman" w:hAnsi="Times New Roman" w:eastAsia="仿宋" w:cs="Times New Roman"/>
                          <w:sz w:val="28"/>
                          <w:szCs w:val="28"/>
                        </w:rPr>
                        <w:t>年</w:t>
                      </w:r>
                      <w:r>
                        <w:rPr>
                          <w:rFonts w:hint="eastAsia" w:eastAsia="仿宋" w:cs="Times New Roman"/>
                          <w:sz w:val="28"/>
                          <w:szCs w:val="28"/>
                          <w:lang w:val="en-US" w:eastAsia="zh-CN"/>
                        </w:rPr>
                        <w:t>9</w:t>
                      </w:r>
                      <w:r>
                        <w:rPr>
                          <w:rFonts w:hint="default" w:ascii="Times New Roman" w:hAnsi="Times New Roman" w:eastAsia="仿宋" w:cs="Times New Roman"/>
                          <w:sz w:val="28"/>
                          <w:szCs w:val="28"/>
                        </w:rPr>
                        <w:t>月</w:t>
                      </w:r>
                      <w:r>
                        <w:rPr>
                          <w:rFonts w:hint="eastAsia" w:eastAsia="仿宋" w:cs="Times New Roman"/>
                          <w:sz w:val="28"/>
                          <w:szCs w:val="28"/>
                          <w:lang w:val="en-US" w:eastAsia="zh-CN"/>
                        </w:rPr>
                        <w:t>10</w:t>
                      </w:r>
                      <w:r>
                        <w:rPr>
                          <w:rFonts w:hint="default" w:ascii="Times New Roman" w:hAnsi="Times New Roman" w:eastAsia="仿宋" w:cs="Times New Roman"/>
                          <w:sz w:val="28"/>
                          <w:szCs w:val="28"/>
                          <w:lang w:val="en-US" w:eastAsia="zh-CN"/>
                        </w:rPr>
                        <w:t>日印发</w:t>
                      </w:r>
                      <w:r>
                        <w:rPr>
                          <w:rFonts w:hint="eastAsia" w:ascii="Times New Roman" w:eastAsia="仿宋_GB2312"/>
                          <w:sz w:val="30"/>
                          <w:lang w:val="en-US" w:eastAsia="zh-CN"/>
                        </w:rPr>
                        <w:tab/>
                      </w:r>
                      <w:r>
                        <w:rPr>
                          <w:rFonts w:hint="eastAsia" w:ascii="Times New Roman" w:eastAsia="仿宋_GB2312"/>
                          <w:sz w:val="30"/>
                          <w:lang w:val="en-US" w:eastAsia="zh-CN"/>
                        </w:rPr>
                        <w:t>`</w:t>
                      </w:r>
                      <w:r>
                        <w:rPr>
                          <w:rFonts w:hint="eastAsia" w:eastAsia="仿宋_GB2312"/>
                          <w:sz w:val="30"/>
                        </w:rPr>
                        <w:t>日印</w:t>
                      </w:r>
                    </w:p>
                    <w:p w14:paraId="1EE8FE96">
                      <w:pPr>
                        <w:rPr>
                          <w:sz w:val="30"/>
                        </w:rPr>
                      </w:pPr>
                    </w:p>
                  </w:txbxContent>
                </v:textbox>
              </v:shape>
            </w:pict>
          </mc:Fallback>
        </mc:AlternateContent>
      </w:r>
      <w:r>
        <w:rPr>
          <w:rFonts w:hint="eastAsia" w:ascii="仿宋" w:hAnsi="仿宋" w:eastAsia="仿宋" w:cs="仿宋"/>
          <w:sz w:val="28"/>
          <w:szCs w:val="28"/>
        </w:rPr>
        <mc:AlternateContent>
          <mc:Choice Requires="wps">
            <w:drawing>
              <wp:inline distT="0" distB="0" distL="114300" distR="114300">
                <wp:extent cx="2327910" cy="720725"/>
                <wp:effectExtent l="0" t="0" r="0" b="0"/>
                <wp:docPr id="4" name="Text Box 2"/>
                <wp:cNvGraphicFramePr/>
                <a:graphic xmlns:a="http://schemas.openxmlformats.org/drawingml/2006/main">
                  <a:graphicData uri="http://schemas.microsoft.com/office/word/2010/wordprocessingShape">
                    <wps:wsp>
                      <wps:cNvSpPr txBox="1">
                        <a:spLocks noRot="1"/>
                      </wps:cNvSpPr>
                      <wps:spPr>
                        <a:xfrm>
                          <a:off x="0" y="0"/>
                          <a:ext cx="2327910" cy="720725"/>
                        </a:xfrm>
                        <a:prstGeom prst="rect">
                          <a:avLst/>
                        </a:prstGeom>
                        <a:noFill/>
                        <a:ln w="9525">
                          <a:noFill/>
                        </a:ln>
                        <a:effectLst/>
                      </wps:spPr>
                      <wps:txbx>
                        <w:txbxContent>
                          <w:p w14:paraId="29CDCF5D">
                            <w:pPr>
                              <w:snapToGrid w:val="0"/>
                              <w:spacing w:line="192" w:lineRule="auto"/>
                              <w:rPr>
                                <w:rFonts w:eastAsia="仿宋_GB2312"/>
                                <w:spacing w:val="15"/>
                                <w:kern w:val="0"/>
                                <w:sz w:val="30"/>
                              </w:rPr>
                            </w:pPr>
                          </w:p>
                          <w:p w14:paraId="0AE9BBB2">
                            <w:pPr>
                              <w:snapToGrid w:val="0"/>
                              <w:spacing w:line="216" w:lineRule="auto"/>
                              <w:jc w:val="distribute"/>
                              <w:rPr>
                                <w:rFonts w:hint="eastAsia" w:ascii="仿宋" w:hAnsi="仿宋" w:eastAsia="仿宋" w:cs="仿宋"/>
                                <w:sz w:val="30"/>
                              </w:rPr>
                            </w:pPr>
                            <w:r>
                              <w:rPr>
                                <w:rFonts w:hint="eastAsia" w:ascii="仿宋" w:hAnsi="仿宋" w:eastAsia="仿宋" w:cs="仿宋"/>
                                <w:spacing w:val="15"/>
                                <w:kern w:val="0"/>
                                <w:sz w:val="28"/>
                                <w:szCs w:val="28"/>
                              </w:rPr>
                              <w:t>四川省食品药品审查评价及安全监测</w:t>
                            </w:r>
                            <w:r>
                              <w:rPr>
                                <w:rFonts w:hint="eastAsia" w:ascii="仿宋" w:hAnsi="仿宋" w:eastAsia="仿宋" w:cs="仿宋"/>
                                <w:spacing w:val="33"/>
                                <w:kern w:val="0"/>
                                <w:sz w:val="28"/>
                                <w:szCs w:val="28"/>
                              </w:rPr>
                              <w:t>中心办公</w:t>
                            </w:r>
                            <w:r>
                              <w:rPr>
                                <w:rFonts w:hint="eastAsia" w:ascii="仿宋" w:hAnsi="仿宋" w:eastAsia="仿宋" w:cs="仿宋"/>
                                <w:spacing w:val="3"/>
                                <w:kern w:val="0"/>
                                <w:sz w:val="28"/>
                                <w:szCs w:val="28"/>
                              </w:rPr>
                              <w:t>室</w:t>
                            </w:r>
                          </w:p>
                          <w:p w14:paraId="0C7EE477"/>
                        </w:txbxContent>
                      </wps:txbx>
                      <wps:bodyPr wrap="square" lIns="0" tIns="0" rIns="0" bIns="0" upright="1"/>
                    </wps:wsp>
                  </a:graphicData>
                </a:graphic>
              </wp:inline>
            </w:drawing>
          </mc:Choice>
          <mc:Fallback>
            <w:pict>
              <v:shape id="Text Box 2" o:spid="_x0000_s1026" o:spt="202" type="#_x0000_t202" style="height:56.75pt;width:183.3pt;" filled="f" stroked="f" coordsize="21600,21600" o:gfxdata="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jKMStUAAAAFAQAADwAAAAAAAAABACAAAAAiAAAA&#10;ZHJzL2Rvd25yZXYueG1sUEsBAhQAFAAAAAgAh07iQKWM6PnRAQAAuQMAAA4AAAAAAAAAAQAgAAAA&#10;JAEAAGRycy9lMm9Eb2MueG1sUEsFBgAAAAAGAAYAWQEAAGcFAAAAAA==&#10;">
                <v:fill on="f" focussize="0,0"/>
                <v:stroke on="f"/>
                <v:imagedata o:title=""/>
                <o:lock v:ext="edit" rotation="t" aspectratio="f"/>
                <v:textbox inset="0mm,0mm,0mm,0mm">
                  <w:txbxContent>
                    <w:p w14:paraId="29CDCF5D">
                      <w:pPr>
                        <w:snapToGrid w:val="0"/>
                        <w:spacing w:line="192" w:lineRule="auto"/>
                        <w:rPr>
                          <w:rFonts w:eastAsia="仿宋_GB2312"/>
                          <w:spacing w:val="15"/>
                          <w:kern w:val="0"/>
                          <w:sz w:val="30"/>
                        </w:rPr>
                      </w:pPr>
                    </w:p>
                    <w:p w14:paraId="0AE9BBB2">
                      <w:pPr>
                        <w:snapToGrid w:val="0"/>
                        <w:spacing w:line="216" w:lineRule="auto"/>
                        <w:jc w:val="distribute"/>
                        <w:rPr>
                          <w:rFonts w:hint="eastAsia" w:ascii="仿宋" w:hAnsi="仿宋" w:eastAsia="仿宋" w:cs="仿宋"/>
                          <w:sz w:val="30"/>
                        </w:rPr>
                      </w:pPr>
                      <w:r>
                        <w:rPr>
                          <w:rFonts w:hint="eastAsia" w:ascii="仿宋" w:hAnsi="仿宋" w:eastAsia="仿宋" w:cs="仿宋"/>
                          <w:spacing w:val="15"/>
                          <w:kern w:val="0"/>
                          <w:sz w:val="28"/>
                          <w:szCs w:val="28"/>
                        </w:rPr>
                        <w:t>四川省食品药品审查评价及安全监测</w:t>
                      </w:r>
                      <w:r>
                        <w:rPr>
                          <w:rFonts w:hint="eastAsia" w:ascii="仿宋" w:hAnsi="仿宋" w:eastAsia="仿宋" w:cs="仿宋"/>
                          <w:spacing w:val="33"/>
                          <w:kern w:val="0"/>
                          <w:sz w:val="28"/>
                          <w:szCs w:val="28"/>
                        </w:rPr>
                        <w:t>中心办公</w:t>
                      </w:r>
                      <w:r>
                        <w:rPr>
                          <w:rFonts w:hint="eastAsia" w:ascii="仿宋" w:hAnsi="仿宋" w:eastAsia="仿宋" w:cs="仿宋"/>
                          <w:spacing w:val="3"/>
                          <w:kern w:val="0"/>
                          <w:sz w:val="28"/>
                          <w:szCs w:val="28"/>
                        </w:rPr>
                        <w:t>室</w:t>
                      </w:r>
                    </w:p>
                    <w:p w14:paraId="0C7EE477"/>
                  </w:txbxContent>
                </v:textbox>
                <w10:wrap type="none"/>
                <w10:anchorlock/>
              </v:shape>
            </w:pict>
          </mc:Fallback>
        </mc:AlternateConten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w:t>
      </w:r>
      <w:r>
        <w:rPr>
          <w:rFonts w:hint="default" w:ascii="Times New Roman" w:hAnsi="Times New Roman" w:eastAsia="仿宋_GB2312" w:cs="Times New Roman"/>
          <w:sz w:val="30"/>
        </w:rPr>
        <w:t xml:space="preserve"> </w:t>
      </w:r>
    </w:p>
    <w:sectPr>
      <w:pgSz w:w="11906" w:h="16838"/>
      <w:pgMar w:top="1440" w:right="1797" w:bottom="1474" w:left="1797" w:header="851" w:footer="794" w:gutter="0"/>
      <w:pgNumType w:fmt="numberInDash" w:start="53"/>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decorative"/>
    <w:pitch w:val="default"/>
    <w:sig w:usb0="00000000" w:usb1="00000000" w:usb2="00000000" w:usb3="00000000" w:csb0="00040001" w:csb1="00000000"/>
  </w:font>
  <w:font w:name="方正小标宋简体">
    <w:panose1 w:val="02010601030101010101"/>
    <w:charset w:val="86"/>
    <w:family w:val="script"/>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auto"/>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425C7">
    <w:pPr>
      <w:spacing w:line="14" w:lineRule="auto"/>
      <w:rPr>
        <w:rFonts w:ascii="Arial"/>
        <w:sz w:val="2"/>
      </w:rPr>
    </w:pPr>
    <w:r>
      <w:rPr>
        <w:sz w:val="2"/>
      </w:rPr>
      <mc:AlternateContent>
        <mc:Choice Requires="wps">
          <w:drawing>
            <wp:anchor distT="0" distB="0" distL="114300" distR="114300" simplePos="0" relativeHeight="251660288" behindDoc="0" locked="0" layoutInCell="1" allowOverlap="1">
              <wp:simplePos x="0" y="0"/>
              <wp:positionH relativeFrom="margin">
                <wp:posOffset>4733290</wp:posOffset>
              </wp:positionH>
              <wp:positionV relativeFrom="paragraph">
                <wp:posOffset>-214630</wp:posOffset>
              </wp:positionV>
              <wp:extent cx="1828800" cy="1828800"/>
              <wp:effectExtent l="0" t="0" r="0" b="0"/>
              <wp:wrapNone/>
              <wp:docPr id="3"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72DCE38F">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4" o:spid="_x0000_s1026" o:spt="202" type="#_x0000_t202" style="position:absolute;left:0pt;margin-left:372.7pt;margin-top:-16.9pt;height:144pt;width:144pt;mso-position-horizontal-relative:margin;mso-wrap-style:none;z-index:251660288;mso-width-relative:page;mso-height-relative:page;" filled="f" stroked="f" coordsize="21600,21600" o:gfxdata="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T6bu&#10;2AAAAAwBAAAPAAAAAAAAAAEAIAAAACIAAABkcnMvZG93bnJldi54bWxQSwECFAAUAAAACACHTuJA&#10;To9mp+gBAADKAwAADgAAAAAAAAABACAAAAAnAQAAZHJzL2Uyb0RvYy54bWxQSwUGAAAAAAYABgBZ&#10;AQAAgQUAAAAA&#10;">
              <v:fill on="f" focussize="0,0"/>
              <v:stroke on="f" weight="1.5pt"/>
              <v:imagedata o:title=""/>
              <o:lock v:ext="edit" aspectratio="f"/>
              <v:textbox inset="0mm,0mm,0mm,0mm" style="mso-fit-shape-to-text:t;">
                <w:txbxContent>
                  <w:p w14:paraId="72DCE38F">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BAD6B">
    <w:pPr>
      <w:pStyle w:val="9"/>
    </w:pPr>
    <w:r>
      <w:rPr>
        <w:sz w:val="18"/>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6EE3C734">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5"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ZtZns8AAAAFAQAA&#10;DwAAAAAAAAABACAAAAAiAAAAZHJzL2Rvd25yZXYueG1sUEsBAhQAFAAAAAgAh07iQPdX2Q3pAQAA&#10;ywMAAA4AAAAAAAAAAQAgAAAAHgEAAGRycy9lMm9Eb2MueG1sUEsFBgAAAAAGAAYAWQEAAHkFAAAA&#10;AA==&#10;">
              <v:fill on="f" focussize="0,0"/>
              <v:stroke on="f" weight="1.5pt"/>
              <v:imagedata o:title=""/>
              <o:lock v:ext="edit" aspectratio="f"/>
              <v:textbox inset="0mm,0mm,0mm,0mm" style="mso-fit-shape-to-text:t;">
                <w:txbxContent>
                  <w:p w14:paraId="6EE3C734">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9274D">
    <w:pPr>
      <w:spacing w:line="14" w:lineRule="auto"/>
      <w:rPr>
        <w:rFonts w:ascii="Arial"/>
        <w:sz w:val="2"/>
      </w:rPr>
    </w:pPr>
    <w:r>
      <w:rPr>
        <w:sz w:val="2"/>
      </w:rPr>
      <mc:AlternateContent>
        <mc:Choice Requires="wps">
          <w:drawing>
            <wp:anchor distT="0" distB="0" distL="114300" distR="114300" simplePos="0" relativeHeight="251681792" behindDoc="0" locked="0" layoutInCell="1" allowOverlap="1">
              <wp:simplePos x="0" y="0"/>
              <wp:positionH relativeFrom="margin">
                <wp:posOffset>8297545</wp:posOffset>
              </wp:positionH>
              <wp:positionV relativeFrom="paragraph">
                <wp:posOffset>-151130</wp:posOffset>
              </wp:positionV>
              <wp:extent cx="1828800" cy="1828800"/>
              <wp:effectExtent l="0" t="0" r="0" b="0"/>
              <wp:wrapNone/>
              <wp:docPr id="4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4587A801">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4" o:spid="_x0000_s1026" o:spt="202" type="#_x0000_t202" style="position:absolute;left:0pt;margin-left:653.35pt;margin-top:-11.9pt;height:144pt;width:144pt;mso-position-horizontal-relative:margin;mso-wrap-style:none;z-index:251681792;mso-width-relative:page;mso-height-relative:page;" filled="f" stroked="f" coordsize="21600,21600" o:gfxdata="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r0I&#10;wdgAAAANAQAADwAAAAAAAAABACAAAAAiAAAAZHJzL2Rvd25yZXYueG1sUEsBAhQAFAAAAAgAh07i&#10;QBo+49DpAQAAywMAAA4AAAAAAAAAAQAgAAAAJwEAAGRycy9lMm9Eb2MueG1sUEsFBgAAAAAGAAYA&#10;WQEAAIIFAAAAAA==&#10;">
              <v:fill on="f" focussize="0,0"/>
              <v:stroke on="f" weight="1.5pt"/>
              <v:imagedata o:title=""/>
              <o:lock v:ext="edit" aspectratio="f"/>
              <v:textbox inset="0mm,0mm,0mm,0mm" style="mso-fit-shape-to-text:t;">
                <w:txbxContent>
                  <w:p w14:paraId="4587A801">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3421A">
    <w:pPr>
      <w:pStyle w:val="9"/>
    </w:pPr>
    <w:r>
      <w:rPr>
        <w:sz w:val="18"/>
      </w:rPr>
      <mc:AlternateContent>
        <mc:Choice Requires="wps">
          <w:drawing>
            <wp:anchor distT="0" distB="0" distL="114300" distR="114300" simplePos="0" relativeHeight="251682816" behindDoc="0" locked="0" layoutInCell="1" allowOverlap="1">
              <wp:simplePos x="0" y="0"/>
              <wp:positionH relativeFrom="margin">
                <wp:posOffset>0</wp:posOffset>
              </wp:positionH>
              <wp:positionV relativeFrom="paragraph">
                <wp:posOffset>-31750</wp:posOffset>
              </wp:positionV>
              <wp:extent cx="1828800" cy="1828800"/>
              <wp:effectExtent l="0" t="0" r="0" b="0"/>
              <wp:wrapNone/>
              <wp:docPr id="4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6BC7AE2B">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5" o:spid="_x0000_s1026" o:spt="202" type="#_x0000_t202" style="position:absolute;left:0pt;margin-left:0pt;margin-top:-2.5pt;height:144pt;width:144pt;mso-position-horizontal-relative:margin;mso-wrap-style:none;z-index:251682816;mso-width-relative:page;mso-height-relative:page;" filled="f" stroked="f" coordsize="21600,21600" o:gfxdata="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1gFa0NMAAAAH&#10;AQAADwAAAAAAAAABACAAAAAiAAAAZHJzL2Rvd25yZXYueG1sUEsBAhQAFAAAAAgAh07iQBUH3Z7o&#10;AQAAywMAAA4AAAAAAAAAAQAgAAAAIgEAAGRycy9lMm9Eb2MueG1sUEsFBgAAAAAGAAYAWQEAAHwF&#10;AAAAAA==&#10;">
              <v:fill on="f" focussize="0,0"/>
              <v:stroke on="f" weight="1.5pt"/>
              <v:imagedata o:title=""/>
              <o:lock v:ext="edit" aspectratio="f"/>
              <v:textbox inset="0mm,0mm,0mm,0mm" style="mso-fit-shape-to-text:t;">
                <w:txbxContent>
                  <w:p w14:paraId="6BC7AE2B">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49A6B">
    <w:pPr>
      <w:spacing w:line="14" w:lineRule="auto"/>
      <w:rPr>
        <w:rFonts w:ascii="Arial"/>
        <w:sz w:val="2"/>
      </w:rPr>
    </w:pPr>
    <w:r>
      <w:rPr>
        <w:sz w:val="2"/>
      </w:rPr>
      <mc:AlternateContent>
        <mc:Choice Requires="wps">
          <w:drawing>
            <wp:anchor distT="0" distB="0" distL="114300" distR="114300" simplePos="0" relativeHeight="251683840" behindDoc="0" locked="0" layoutInCell="1" allowOverlap="1">
              <wp:simplePos x="0" y="0"/>
              <wp:positionH relativeFrom="margin">
                <wp:posOffset>8297545</wp:posOffset>
              </wp:positionH>
              <wp:positionV relativeFrom="paragraph">
                <wp:posOffset>-151130</wp:posOffset>
              </wp:positionV>
              <wp:extent cx="1828800" cy="1828800"/>
              <wp:effectExtent l="0" t="0" r="0" b="0"/>
              <wp:wrapNone/>
              <wp:docPr id="46"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340E4BC0">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4" o:spid="_x0000_s1026" o:spt="202" type="#_x0000_t202" style="position:absolute;left:0pt;margin-left:653.35pt;margin-top:-11.9pt;height:144pt;width:144pt;mso-position-horizontal-relative:margin;mso-wrap-style:none;z-index:251683840;mso-width-relative:page;mso-height-relative:page;" filled="f" stroked="f" coordsize="21600,21600" o:gfxdata="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r0I&#10;wdgAAAANAQAADwAAAAAAAAABACAAAAAiAAAAZHJzL2Rvd25yZXYueG1sUEsBAhQAFAAAAAgAh07i&#10;QHsMMBfpAQAAywMAAA4AAAAAAAAAAQAgAAAAJwEAAGRycy9lMm9Eb2MueG1sUEsFBgAAAAAGAAYA&#10;WQEAAIIFAAAAAA==&#10;">
              <v:fill on="f" focussize="0,0"/>
              <v:stroke on="f" weight="1.5pt"/>
              <v:imagedata o:title=""/>
              <o:lock v:ext="edit" aspectratio="f"/>
              <v:textbox inset="0mm,0mm,0mm,0mm" style="mso-fit-shape-to-text:t;">
                <w:txbxContent>
                  <w:p w14:paraId="340E4BC0">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E2EFC">
    <w:pPr>
      <w:pStyle w:val="9"/>
    </w:pPr>
    <w:r>
      <w:rPr>
        <w:sz w:val="18"/>
      </w:rPr>
      <mc:AlternateContent>
        <mc:Choice Requires="wps">
          <w:drawing>
            <wp:anchor distT="0" distB="0" distL="114300" distR="114300" simplePos="0" relativeHeight="251684864" behindDoc="0" locked="0" layoutInCell="1" allowOverlap="1">
              <wp:simplePos x="0" y="0"/>
              <wp:positionH relativeFrom="margin">
                <wp:posOffset>0</wp:posOffset>
              </wp:positionH>
              <wp:positionV relativeFrom="paragraph">
                <wp:posOffset>-31750</wp:posOffset>
              </wp:positionV>
              <wp:extent cx="1828800" cy="1828800"/>
              <wp:effectExtent l="0" t="0" r="0" b="0"/>
              <wp:wrapNone/>
              <wp:docPr id="47"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3E6B20DE">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5" o:spid="_x0000_s1026" o:spt="202" type="#_x0000_t202" style="position:absolute;left:0pt;margin-left:0pt;margin-top:-2.5pt;height:144pt;width:144pt;mso-position-horizontal-relative:margin;mso-wrap-style:none;z-index:251684864;mso-width-relative:page;mso-height-relative:page;" filled="f" stroked="f" coordsize="21600,21600" o:gfxdata="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YBWtDTAAAA&#10;BwEAAA8AAAAAAAAAAQAgAAAAIgAAAGRycy9kb3ducmV2LnhtbFBLAQIUABQAAAAIAIdO4kB0NQ5Z&#10;6QEAAMsDAAAOAAAAAAAAAAEAIAAAACIBAABkcnMvZTJvRG9jLnhtbFBLBQYAAAAABgAGAFkBAAB9&#10;BQAAAAA=&#10;">
              <v:fill on="f" focussize="0,0"/>
              <v:stroke on="f" weight="1.5pt"/>
              <v:imagedata o:title=""/>
              <o:lock v:ext="edit" aspectratio="f"/>
              <v:textbox inset="0mm,0mm,0mm,0mm" style="mso-fit-shape-to-text:t;">
                <w:txbxContent>
                  <w:p w14:paraId="3E6B20DE">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D721C">
    <w:pPr>
      <w:spacing w:line="14" w:lineRule="auto"/>
      <w:rPr>
        <w:rFonts w:ascii="Arial"/>
        <w:sz w:val="2"/>
      </w:rPr>
    </w:pPr>
    <w:r>
      <w:rPr>
        <w:sz w:val="2"/>
      </w:rPr>
      <mc:AlternateContent>
        <mc:Choice Requires="wps">
          <w:drawing>
            <wp:anchor distT="0" distB="0" distL="114300" distR="114300" simplePos="0" relativeHeight="251685888" behindDoc="0" locked="0" layoutInCell="1" allowOverlap="1">
              <wp:simplePos x="0" y="0"/>
              <wp:positionH relativeFrom="margin">
                <wp:posOffset>8297545</wp:posOffset>
              </wp:positionH>
              <wp:positionV relativeFrom="paragraph">
                <wp:posOffset>-151130</wp:posOffset>
              </wp:positionV>
              <wp:extent cx="1828800" cy="1828800"/>
              <wp:effectExtent l="0" t="0" r="0" b="0"/>
              <wp:wrapNone/>
              <wp:docPr id="48"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7469F020">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4" o:spid="_x0000_s1026" o:spt="202" type="#_x0000_t202" style="position:absolute;left:0pt;margin-left:653.35pt;margin-top:-11.9pt;height:144pt;width:144pt;mso-position-horizontal-relative:margin;mso-wrap-style:none;z-index:251685888;mso-width-relative:page;mso-height-relative:page;" filled="f" stroked="f" coordsize="21600,21600" o:gfxdata="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r0I&#10;wdgAAAANAQAADwAAAAAAAAABACAAAAAiAAAAZHJzL2Rvd25yZXYueG1sUEsBAhQAFAAAAAgAh07i&#10;QJ+Zmi3pAQAAywMAAA4AAAAAAAAAAQAgAAAAJwEAAGRycy9lMm9Eb2MueG1sUEsFBgAAAAAGAAYA&#10;WQEAAIIFAAAAAA==&#10;">
              <v:fill on="f" focussize="0,0"/>
              <v:stroke on="f" weight="1.5pt"/>
              <v:imagedata o:title=""/>
              <o:lock v:ext="edit" aspectratio="f"/>
              <v:textbox inset="0mm,0mm,0mm,0mm" style="mso-fit-shape-to-text:t;">
                <w:txbxContent>
                  <w:p w14:paraId="7469F020">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A1A77">
    <w:pPr>
      <w:pStyle w:val="9"/>
    </w:pPr>
    <w:r>
      <w:rPr>
        <w:sz w:val="18"/>
      </w:rPr>
      <mc:AlternateContent>
        <mc:Choice Requires="wps">
          <w:drawing>
            <wp:anchor distT="0" distB="0" distL="114300" distR="114300" simplePos="0" relativeHeight="251686912" behindDoc="0" locked="0" layoutInCell="1" allowOverlap="1">
              <wp:simplePos x="0" y="0"/>
              <wp:positionH relativeFrom="margin">
                <wp:posOffset>0</wp:posOffset>
              </wp:positionH>
              <wp:positionV relativeFrom="paragraph">
                <wp:posOffset>-31750</wp:posOffset>
              </wp:positionV>
              <wp:extent cx="1828800" cy="1828800"/>
              <wp:effectExtent l="0" t="0" r="0" b="0"/>
              <wp:wrapNone/>
              <wp:docPr id="49"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61C9A4F3">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5" o:spid="_x0000_s1026" o:spt="202" type="#_x0000_t202" style="position:absolute;left:0pt;margin-left:0pt;margin-top:-2.5pt;height:144pt;width:144pt;mso-position-horizontal-relative:margin;mso-wrap-style:none;z-index:251686912;mso-width-relative:page;mso-height-relative:page;" filled="f" stroked="f" coordsize="21600,21600" o:gfxdata="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YBWtDTAAAA&#10;BwEAAA8AAAAAAAAAAQAgAAAAIgAAAGRycy9kb3ducmV2LnhtbFBLAQIUABQAAAAIAIdO4kCQoKRj&#10;6QEAAMsDAAAOAAAAAAAAAAEAIAAAACIBAABkcnMvZTJvRG9jLnhtbFBLBQYAAAAABgAGAFkBAAB9&#10;BQAAAAA=&#10;">
              <v:fill on="f" focussize="0,0"/>
              <v:stroke on="f" weight="1.5pt"/>
              <v:imagedata o:title=""/>
              <o:lock v:ext="edit" aspectratio="f"/>
              <v:textbox inset="0mm,0mm,0mm,0mm" style="mso-fit-shape-to-text:t;">
                <w:txbxContent>
                  <w:p w14:paraId="61C9A4F3">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571B">
    <w:pPr>
      <w:spacing w:line="14" w:lineRule="auto"/>
      <w:rPr>
        <w:rFonts w:ascii="Arial"/>
        <w:sz w:val="2"/>
      </w:rPr>
    </w:pPr>
    <w:r>
      <w:rPr>
        <w:sz w:val="2"/>
      </w:rPr>
      <mc:AlternateContent>
        <mc:Choice Requires="wps">
          <w:drawing>
            <wp:anchor distT="0" distB="0" distL="114300" distR="114300" simplePos="0" relativeHeight="251687936" behindDoc="0" locked="0" layoutInCell="1" allowOverlap="1">
              <wp:simplePos x="0" y="0"/>
              <wp:positionH relativeFrom="margin">
                <wp:posOffset>8297545</wp:posOffset>
              </wp:positionH>
              <wp:positionV relativeFrom="paragraph">
                <wp:posOffset>-151130</wp:posOffset>
              </wp:positionV>
              <wp:extent cx="1828800" cy="1828800"/>
              <wp:effectExtent l="0" t="0" r="0" b="0"/>
              <wp:wrapNone/>
              <wp:docPr id="50"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01BB49AE">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4" o:spid="_x0000_s1026" o:spt="202" type="#_x0000_t202" style="position:absolute;left:0pt;margin-left:653.35pt;margin-top:-11.9pt;height:144pt;width:144pt;mso-position-horizontal-relative:margin;mso-wrap-style:none;z-index:251687936;mso-width-relative:page;mso-height-relative:page;" filled="f" stroked="f" coordsize="21600,21600" o:gfxdata="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K9CMHY&#10;AAAADQEAAA8AAAAAAAAAAQAgAAAAIgAAAGRycy9kb3ducmV2LnhtbFBLAQIUABQAAAAIAIdO4kDn&#10;HQ2Z5wEAAMsDAAAOAAAAAAAAAAEAIAAAACcBAABkcnMvZTJvRG9jLnhtbFBLBQYAAAAABgAGAFkB&#10;AACABQAAAAA=&#10;">
              <v:fill on="f" focussize="0,0"/>
              <v:stroke on="f" weight="1.5pt"/>
              <v:imagedata o:title=""/>
              <o:lock v:ext="edit" aspectratio="f"/>
              <v:textbox inset="0mm,0mm,0mm,0mm" style="mso-fit-shape-to-text:t;">
                <w:txbxContent>
                  <w:p w14:paraId="01BB49AE">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1205E">
    <w:pPr>
      <w:pStyle w:val="9"/>
    </w:pPr>
    <w:r>
      <w:rPr>
        <w:sz w:val="18"/>
      </w:rPr>
      <mc:AlternateContent>
        <mc:Choice Requires="wps">
          <w:drawing>
            <wp:anchor distT="0" distB="0" distL="114300" distR="114300" simplePos="0" relativeHeight="251688960" behindDoc="0" locked="0" layoutInCell="1" allowOverlap="1">
              <wp:simplePos x="0" y="0"/>
              <wp:positionH relativeFrom="margin">
                <wp:posOffset>0</wp:posOffset>
              </wp:positionH>
              <wp:positionV relativeFrom="paragraph">
                <wp:posOffset>-31750</wp:posOffset>
              </wp:positionV>
              <wp:extent cx="1828800" cy="1828800"/>
              <wp:effectExtent l="0" t="0" r="0" b="0"/>
              <wp:wrapNone/>
              <wp:docPr id="51"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1AD8C1EC">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5" o:spid="_x0000_s1026" o:spt="202" type="#_x0000_t202" style="position:absolute;left:0pt;margin-left:0pt;margin-top:-2.5pt;height:144pt;width:144pt;mso-position-horizontal-relative:margin;mso-wrap-style:none;z-index:251688960;mso-width-relative:page;mso-height-relative:page;" filled="f" stroked="f" coordsize="21600,21600" o:gfxdata="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YBWtDTAAAA&#10;BwEAAA8AAAAAAAAAAQAgAAAAIgAAAGRycy9kb3ducmV2LnhtbFBLAQIUABQAAAAIAIdO4kDoJDPX&#10;6QEAAMsDAAAOAAAAAAAAAAEAIAAAACIBAABkcnMvZTJvRG9jLnhtbFBLBQYAAAAABgAGAFkBAAB9&#10;BQAAAAA=&#10;">
              <v:fill on="f" focussize="0,0"/>
              <v:stroke on="f" weight="1.5pt"/>
              <v:imagedata o:title=""/>
              <o:lock v:ext="edit" aspectratio="f"/>
              <v:textbox inset="0mm,0mm,0mm,0mm" style="mso-fit-shape-to-text:t;">
                <w:txbxContent>
                  <w:p w14:paraId="1AD8C1EC">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92DD3">
    <w:pPr>
      <w:pStyle w:val="9"/>
    </w:pPr>
    <w:r>
      <w:rPr>
        <w:sz w:val="18"/>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-71120</wp:posOffset>
              </wp:positionV>
              <wp:extent cx="1828800" cy="1828800"/>
              <wp:effectExtent l="0" t="0" r="0" b="0"/>
              <wp:wrapNone/>
              <wp:docPr id="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6CCBB7E6">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5" o:spid="_x0000_s1026" o:spt="202" type="#_x0000_t202" style="position:absolute;left:0pt;margin-left:0pt;margin-top:-5.6pt;height:144pt;width:144pt;mso-position-horizontal-relative:margin;mso-wrap-style:none;z-index:251661312;mso-width-relative:page;mso-height-relative:page;" filled="f" stroked="f" coordsize="21600,21600" o:gfxdata="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X6mqd1QAA&#10;AAgBAAAPAAAAAAAAAAEAIAAAACIAAABkcnMvZG93bnJldi54bWxQSwECFAAUAAAACACHTuJAs/wN&#10;9OgBAADKAwAADgAAAAAAAAABACAAAAAkAQAAZHJzL2Uyb0RvYy54bWxQSwUGAAAAAAYABgBZAQAA&#10;fgUAAAAA&#10;">
              <v:fill on="f" focussize="0,0"/>
              <v:stroke on="f" weight="1.5pt"/>
              <v:imagedata o:title=""/>
              <o:lock v:ext="edit" aspectratio="f"/>
              <v:textbox inset="0mm,0mm,0mm,0mm" style="mso-fit-shape-to-text:t;">
                <w:txbxContent>
                  <w:p w14:paraId="6CCBB7E6">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A68A2">
    <w:pPr>
      <w:spacing w:line="14" w:lineRule="auto"/>
      <w:rPr>
        <w:rFonts w:ascii="Arial"/>
        <w:sz w:val="2"/>
      </w:rPr>
    </w:pPr>
    <w:r>
      <w:rPr>
        <w:sz w:val="2"/>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637C1244">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4"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dm1mezwAAAAUBAAAP&#10;AAAAAAAAAAEAIAAAACIAAABkcnMvZG93bnJldi54bWxQSwECFAAUAAAACACHTuJAze2x8+gBAADK&#10;AwAADgAAAAAAAAABACAAAAAeAQAAZHJzL2Uyb0RvYy54bWxQSwUGAAAAAAYABgBZAQAAeAUAAAAA&#10;">
              <v:fill on="f" focussize="0,0"/>
              <v:stroke on="f" weight="1.5pt"/>
              <v:imagedata o:title=""/>
              <o:lock v:ext="edit" aspectratio="f"/>
              <v:textbox inset="0mm,0mm,0mm,0mm" style="mso-fit-shape-to-text:t;">
                <w:txbxContent>
                  <w:p w14:paraId="637C1244">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A9184">
    <w:pPr>
      <w:pStyle w:val="9"/>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6A1CF133">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5"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dm1mezwAAAAUBAAAP&#10;AAAAAAAAAAEAIAAAACIAAABkcnMvZG93bnJldi54bWxQSwECFAAUAAAACACHTuJAJkElh+gBAADK&#10;AwAADgAAAAAAAAABACAAAAAeAQAAZHJzL2Uyb0RvYy54bWxQSwUGAAAAAAYABgBZAQAAeAUAAAAA&#10;">
              <v:fill on="f" focussize="0,0"/>
              <v:stroke on="f" weight="1.5pt"/>
              <v:imagedata o:title=""/>
              <o:lock v:ext="edit" aspectratio="f"/>
              <v:textbox inset="0mm,0mm,0mm,0mm" style="mso-fit-shape-to-text:t;">
                <w:txbxContent>
                  <w:p w14:paraId="6A1CF133">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7775A">
    <w:pPr>
      <w:spacing w:line="14" w:lineRule="auto"/>
      <w:rPr>
        <w:rFonts w:ascii="Arial"/>
        <w:sz w:val="2"/>
      </w:rPr>
    </w:pPr>
    <w:r>
      <w:rPr>
        <w:sz w:val="2"/>
      </w:rPr>
      <mc:AlternateContent>
        <mc:Choice Requires="wps">
          <w:drawing>
            <wp:anchor distT="0" distB="0" distL="114300" distR="114300" simplePos="0" relativeHeight="251677696" behindDoc="0" locked="0" layoutInCell="1" allowOverlap="1">
              <wp:simplePos x="0" y="0"/>
              <wp:positionH relativeFrom="margin">
                <wp:posOffset>4722495</wp:posOffset>
              </wp:positionH>
              <wp:positionV relativeFrom="paragraph">
                <wp:posOffset>-206375</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7F8DE">
                          <w:pPr>
                            <w:pStyle w:val="9"/>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- 1 -</w:t>
                          </w:r>
                          <w:r>
                            <w:rPr>
                              <w:rFonts w:hint="eastAsia" w:ascii="仿宋" w:hAnsi="仿宋" w:eastAsia="仿宋" w:cs="仿宋"/>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71.85pt;margin-top:-16.25pt;height:144pt;width:144pt;mso-position-horizontal-relative:margin;mso-wrap-style:none;z-index:251677696;mso-width-relative:page;mso-height-relative:page;" filled="f" stroked="f" coordsize="21600,21600" o:gfxdata="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1DsAtkAAAAMAQAADwAAAAAAAAABACAAAAAiAAAAZHJzL2Rvd25yZXYu&#10;eG1sUEsBAhQAFAAAAAgAh07iQC7J9wAzAgAAYwQAAA4AAAAAAAAAAQAgAAAAKAEAAGRycy9lMm9E&#10;b2MueG1sUEsFBgAAAAAGAAYAWQEAAM0FAAAAAA==&#10;">
              <v:fill on="f" focussize="0,0"/>
              <v:stroke on="f" weight="0.5pt"/>
              <v:imagedata o:title=""/>
              <o:lock v:ext="edit" aspectratio="f"/>
              <v:textbox inset="0mm,0mm,0mm,0mm" style="mso-fit-shape-to-text:t;">
                <w:txbxContent>
                  <w:p w14:paraId="6717F8DE">
                    <w:pPr>
                      <w:pStyle w:val="9"/>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- 1 -</w:t>
                    </w:r>
                    <w:r>
                      <w:rPr>
                        <w:rFonts w:hint="eastAsia" w:ascii="仿宋" w:hAnsi="仿宋" w:eastAsia="仿宋" w:cs="仿宋"/>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B2ECE">
    <w:pPr>
      <w:pStyle w:val="9"/>
    </w:pPr>
    <w:r>
      <w:rPr>
        <w:sz w:val="18"/>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004EB">
                          <w:pPr>
                            <w:pStyle w:val="9"/>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7F2004EB">
                    <w:pPr>
                      <w:pStyle w:val="9"/>
                    </w:pPr>
                    <w:r>
                      <w:fldChar w:fldCharType="begin"/>
                    </w:r>
                    <w:r>
                      <w:instrText xml:space="preserve"> PAGE  \* MERGEFORMAT </w:instrText>
                    </w:r>
                    <w:r>
                      <w:fldChar w:fldCharType="separate"/>
                    </w:r>
                    <w:r>
                      <w:t>- 10 -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EBC59">
    <w:pPr>
      <w:spacing w:line="14" w:lineRule="auto"/>
      <w:rPr>
        <w:rFonts w:ascii="Arial"/>
        <w:sz w:val="2"/>
      </w:rPr>
    </w:pPr>
    <w:r>
      <w:rPr>
        <w:sz w:val="2"/>
      </w:rPr>
      <mc:AlternateContent>
        <mc:Choice Requires="wps">
          <w:drawing>
            <wp:anchor distT="0" distB="0" distL="114300" distR="114300" simplePos="0" relativeHeight="251672576" behindDoc="0" locked="0" layoutInCell="1" allowOverlap="1">
              <wp:simplePos x="0" y="0"/>
              <wp:positionH relativeFrom="margin">
                <wp:posOffset>4725670</wp:posOffset>
              </wp:positionH>
              <wp:positionV relativeFrom="paragraph">
                <wp:posOffset>-134620</wp:posOffset>
              </wp:positionV>
              <wp:extent cx="1828800" cy="1828800"/>
              <wp:effectExtent l="0" t="0" r="0" b="0"/>
              <wp:wrapNone/>
              <wp:docPr id="38"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1E41474B">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4" o:spid="_x0000_s1026" o:spt="202" type="#_x0000_t202" style="position:absolute;left:0pt;margin-left:372.1pt;margin-top:-10.6pt;height:144pt;width:144pt;mso-position-horizontal-relative:margin;mso-wrap-style:none;z-index:251672576;mso-width-relative:page;mso-height-relative:page;" filled="f" stroked="f" coordsize="21600,21600" o:gfxdata="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yRZ&#10;kNgAAAAMAQAADwAAAAAAAAABACAAAAAiAAAAZHJzL2Rvd25yZXYueG1sUEsBAhQAFAAAAAgAh07i&#10;QOVfNH7pAQAAywMAAA4AAAAAAAAAAQAgAAAAJwEAAGRycy9lMm9Eb2MueG1sUEsFBgAAAAAGAAYA&#10;WQEAAIIFAAAAAA==&#10;">
              <v:fill on="f" focussize="0,0"/>
              <v:stroke on="f" weight="1.5pt"/>
              <v:imagedata o:title=""/>
              <o:lock v:ext="edit" aspectratio="f"/>
              <v:textbox inset="0mm,0mm,0mm,0mm" style="mso-fit-shape-to-text:t;">
                <w:txbxContent>
                  <w:p w14:paraId="1E41474B">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F0622">
    <w:pPr>
      <w:pStyle w:val="9"/>
    </w:pPr>
    <w:r>
      <w:rPr>
        <w:sz w:val="18"/>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12F23F6D">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5"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ZtZns8AAAAFAQAA&#10;DwAAAAAAAAABACAAAAAiAAAAZHJzL2Rvd25yZXYueG1sUEsBAhQAFAAAAAgAh07iQOpmCjDpAQAA&#10;ywMAAA4AAAAAAAAAAQAgAAAAHgEAAGRycy9lMm9Eb2MueG1sUEsFBgAAAAAGAAYAWQEAAHkFAAAA&#10;AA==&#10;">
              <v:fill on="f" focussize="0,0"/>
              <v:stroke on="f" weight="1.5pt"/>
              <v:imagedata o:title=""/>
              <o:lock v:ext="edit" aspectratio="f"/>
              <v:textbox inset="0mm,0mm,0mm,0mm" style="mso-fit-shape-to-text:t;">
                <w:txbxContent>
                  <w:p w14:paraId="12F23F6D">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F5C18">
    <w:pPr>
      <w:spacing w:line="14" w:lineRule="auto"/>
      <w:rPr>
        <w:rFonts w:ascii="Arial"/>
        <w:sz w:val="2"/>
      </w:rPr>
    </w:pPr>
    <w:r>
      <w:rPr>
        <w:sz w:val="2"/>
      </w:rPr>
      <mc:AlternateContent>
        <mc:Choice Requires="wps">
          <w:drawing>
            <wp:anchor distT="0" distB="0" distL="114300" distR="114300" simplePos="0" relativeHeight="251679744" behindDoc="0" locked="0" layoutInCell="1" allowOverlap="1">
              <wp:simplePos x="0" y="0"/>
              <wp:positionH relativeFrom="margin">
                <wp:posOffset>8297545</wp:posOffset>
              </wp:positionH>
              <wp:positionV relativeFrom="paragraph">
                <wp:posOffset>-151130</wp:posOffset>
              </wp:positionV>
              <wp:extent cx="1828800" cy="1828800"/>
              <wp:effectExtent l="0" t="0" r="0" b="0"/>
              <wp:wrapNone/>
              <wp:docPr id="42"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noFill/>
                      </a:ln>
                    </wps:spPr>
                    <wps:txbx>
                      <w:txbxContent>
                        <w:p w14:paraId="11E3352B">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wps:txbx>
                    <wps:bodyPr vert="horz" wrap="none" lIns="0" tIns="0" rIns="0" bIns="0" anchor="t" anchorCtr="0" upright="0">
                      <a:spAutoFit/>
                    </wps:bodyPr>
                  </wps:wsp>
                </a:graphicData>
              </a:graphic>
            </wp:anchor>
          </w:drawing>
        </mc:Choice>
        <mc:Fallback>
          <w:pict>
            <v:shape id="文本框 124" o:spid="_x0000_s1026" o:spt="202" type="#_x0000_t202" style="position:absolute;left:0pt;margin-left:653.35pt;margin-top:-11.9pt;height:144pt;width:144pt;mso-position-horizontal-relative:margin;mso-wrap-style:none;z-index:251679744;mso-width-relative:page;mso-height-relative:page;" filled="f" stroked="f" coordsize="21600,21600" o:gfxdata="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r0I&#10;wdgAAAANAQAADwAAAAAAAAABACAAAAAiAAAAZHJzL2Rvd25yZXYueG1sUEsBAhQAFAAAAAgAh07i&#10;QPhu50PpAQAAywMAAA4AAAAAAAAAAQAgAAAAJwEAAGRycy9lMm9Eb2MueG1sUEsFBgAAAAAGAAYA&#10;WQEAAIIFAAAAAA==&#10;">
              <v:fill on="f" focussize="0,0"/>
              <v:stroke on="f" weight="1.5pt"/>
              <v:imagedata o:title=""/>
              <o:lock v:ext="edit" aspectratio="f"/>
              <v:textbox inset="0mm,0mm,0mm,0mm" style="mso-fit-shape-to-text:t;">
                <w:txbxContent>
                  <w:p w14:paraId="11E3352B">
                    <w:pPr>
                      <w:pStyle w:val="9"/>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C7213">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D7466898"/>
    <w:multiLevelType w:val="singleLevel"/>
    <w:tmpl w:val="D7466898"/>
    <w:lvl w:ilvl="0" w:tentative="0">
      <w:start w:val="6"/>
      <w:numFmt w:val="chineseCounting"/>
      <w:suff w:val="nothing"/>
      <w:lvlText w:val="%1、"/>
      <w:lvlJc w:val="left"/>
      <w:rPr>
        <w:rFonts w:hint="eastAsia"/>
      </w:rPr>
    </w:lvl>
  </w:abstractNum>
  <w:abstractNum w:abstractNumId="2">
    <w:nsid w:val="0000000F"/>
    <w:multiLevelType w:val="multilevel"/>
    <w:tmpl w:val="0000000F"/>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宋体" w:hAnsi="宋体" w:eastAsia="宋体"/>
        <w:b/>
        <w:i w:val="0"/>
        <w:sz w:val="21"/>
      </w:rPr>
    </w:lvl>
    <w:lvl w:ilvl="2" w:tentative="0">
      <w:start w:val="1"/>
      <w:numFmt w:val="decimal"/>
      <w:suff w:val="nothing"/>
      <w:lvlText w:val="%1%2.%3　"/>
      <w:lvlJc w:val="left"/>
      <w:pPr>
        <w:ind w:left="0" w:firstLine="0"/>
      </w:pPr>
      <w:rPr>
        <w:rFonts w:hint="eastAsia" w:ascii="宋体" w:hAnsi="宋体" w:eastAsia="宋体"/>
        <w:b w:val="0"/>
        <w:i w:val="0"/>
        <w:sz w:val="21"/>
      </w:rPr>
    </w:lvl>
    <w:lvl w:ilvl="3" w:tentative="0">
      <w:start w:val="1"/>
      <w:numFmt w:val="decimal"/>
      <w:pStyle w:val="40"/>
      <w:suff w:val="nothing"/>
      <w:lvlText w:val="%1%2.%3.%4　"/>
      <w:lvlJc w:val="left"/>
      <w:pPr>
        <w:ind w:left="0" w:firstLine="0"/>
      </w:pPr>
      <w:rPr>
        <w:rFonts w:hint="eastAsia" w:ascii="宋体" w:hAnsi="宋体" w:eastAsia="宋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39234D21"/>
    <w:multiLevelType w:val="singleLevel"/>
    <w:tmpl w:val="39234D21"/>
    <w:lvl w:ilvl="0" w:tentative="0">
      <w:start w:val="4"/>
      <w:numFmt w:val="chineseCounting"/>
      <w:suff w:val="space"/>
      <w:lvlText w:val="第%1部分"/>
      <w:lvlJc w:val="left"/>
      <w:rPr>
        <w:rFonts w:hint="eastAsia"/>
      </w:rPr>
    </w:lvl>
  </w:abstractNum>
  <w:abstractNum w:abstractNumId="5">
    <w:nsid w:val="4EA6D2E0"/>
    <w:multiLevelType w:val="singleLevel"/>
    <w:tmpl w:val="4EA6D2E0"/>
    <w:lvl w:ilvl="0" w:tentative="0">
      <w:start w:val="13"/>
      <w:numFmt w:val="chineseCounting"/>
      <w:suff w:val="nothing"/>
      <w:lvlText w:val="%1、"/>
      <w:lvlJc w:val="left"/>
      <w:rPr>
        <w:rFonts w:hint="eastAsia"/>
      </w:rPr>
    </w:lvl>
  </w:abstractNum>
  <w:abstractNum w:abstractNumId="6">
    <w:nsid w:val="5A92DE1E"/>
    <w:multiLevelType w:val="singleLevel"/>
    <w:tmpl w:val="5A92DE1E"/>
    <w:lvl w:ilvl="0" w:tentative="0">
      <w:start w:val="1"/>
      <w:numFmt w:val="decimal"/>
      <w:suff w:val="nothing"/>
      <w:lvlText w:val="（%1）"/>
      <w:lvlJc w:val="left"/>
      <w:pPr>
        <w:ind w:left="640" w:firstLine="0"/>
      </w:pPr>
    </w:lvl>
  </w:abstractNum>
  <w:num w:numId="1">
    <w:abstractNumId w:val="2"/>
  </w:num>
  <w:num w:numId="2">
    <w:abstractNumId w:val="3"/>
  </w:num>
  <w:num w:numId="3">
    <w:abstractNumId w:val="0"/>
  </w:num>
  <w:num w:numId="4">
    <w:abstractNumId w:val="4"/>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kODk2Y2ExYjYwNWE2NDUwYTI0OTVlNDA3ZDZiODAifQ=="/>
  </w:docVars>
  <w:rsids>
    <w:rsidRoot w:val="3E1D137F"/>
    <w:rsid w:val="0001766C"/>
    <w:rsid w:val="000358EC"/>
    <w:rsid w:val="00065850"/>
    <w:rsid w:val="000B76A7"/>
    <w:rsid w:val="001057D9"/>
    <w:rsid w:val="001126ED"/>
    <w:rsid w:val="00112BC2"/>
    <w:rsid w:val="001173D3"/>
    <w:rsid w:val="001230D8"/>
    <w:rsid w:val="00177FE5"/>
    <w:rsid w:val="00185474"/>
    <w:rsid w:val="001B1423"/>
    <w:rsid w:val="001F2951"/>
    <w:rsid w:val="002010C3"/>
    <w:rsid w:val="002209B9"/>
    <w:rsid w:val="002217DF"/>
    <w:rsid w:val="00255C68"/>
    <w:rsid w:val="002835BF"/>
    <w:rsid w:val="00296B1B"/>
    <w:rsid w:val="002B30C2"/>
    <w:rsid w:val="002E0830"/>
    <w:rsid w:val="002E0F61"/>
    <w:rsid w:val="002E2279"/>
    <w:rsid w:val="002F26E7"/>
    <w:rsid w:val="003019FA"/>
    <w:rsid w:val="00307BD5"/>
    <w:rsid w:val="0031054A"/>
    <w:rsid w:val="0031451C"/>
    <w:rsid w:val="0031732A"/>
    <w:rsid w:val="00331784"/>
    <w:rsid w:val="0034601D"/>
    <w:rsid w:val="00373AC9"/>
    <w:rsid w:val="003B7A6E"/>
    <w:rsid w:val="004211A8"/>
    <w:rsid w:val="004369FE"/>
    <w:rsid w:val="00441208"/>
    <w:rsid w:val="004A038E"/>
    <w:rsid w:val="004C4043"/>
    <w:rsid w:val="00514BFC"/>
    <w:rsid w:val="00515438"/>
    <w:rsid w:val="00525247"/>
    <w:rsid w:val="005313A0"/>
    <w:rsid w:val="005477E6"/>
    <w:rsid w:val="00563E75"/>
    <w:rsid w:val="00592F89"/>
    <w:rsid w:val="005B622B"/>
    <w:rsid w:val="005B6F4E"/>
    <w:rsid w:val="005E668E"/>
    <w:rsid w:val="005F37E9"/>
    <w:rsid w:val="005F7865"/>
    <w:rsid w:val="0060673B"/>
    <w:rsid w:val="0064000F"/>
    <w:rsid w:val="00682BA2"/>
    <w:rsid w:val="006900FC"/>
    <w:rsid w:val="00691DC0"/>
    <w:rsid w:val="00694136"/>
    <w:rsid w:val="006B7035"/>
    <w:rsid w:val="006D33CD"/>
    <w:rsid w:val="006E389F"/>
    <w:rsid w:val="007324F7"/>
    <w:rsid w:val="00767893"/>
    <w:rsid w:val="00770706"/>
    <w:rsid w:val="007E06D6"/>
    <w:rsid w:val="008232B0"/>
    <w:rsid w:val="00843D2F"/>
    <w:rsid w:val="00881A51"/>
    <w:rsid w:val="008B4D35"/>
    <w:rsid w:val="008E5F4E"/>
    <w:rsid w:val="008F6DCD"/>
    <w:rsid w:val="00933938"/>
    <w:rsid w:val="00947FF8"/>
    <w:rsid w:val="00952DA4"/>
    <w:rsid w:val="00980338"/>
    <w:rsid w:val="009966CA"/>
    <w:rsid w:val="009B1B3F"/>
    <w:rsid w:val="009B36BA"/>
    <w:rsid w:val="00A016AA"/>
    <w:rsid w:val="00A24FE4"/>
    <w:rsid w:val="00A255A9"/>
    <w:rsid w:val="00A26172"/>
    <w:rsid w:val="00A57536"/>
    <w:rsid w:val="00B1007B"/>
    <w:rsid w:val="00B364C5"/>
    <w:rsid w:val="00B37CAB"/>
    <w:rsid w:val="00B614B0"/>
    <w:rsid w:val="00BD2AA1"/>
    <w:rsid w:val="00BF1FE9"/>
    <w:rsid w:val="00C356CB"/>
    <w:rsid w:val="00C54FF3"/>
    <w:rsid w:val="00C7364B"/>
    <w:rsid w:val="00C73A22"/>
    <w:rsid w:val="00C81544"/>
    <w:rsid w:val="00C8660F"/>
    <w:rsid w:val="00C907F3"/>
    <w:rsid w:val="00C9551B"/>
    <w:rsid w:val="00CB3E67"/>
    <w:rsid w:val="00CC79D3"/>
    <w:rsid w:val="00D00CEA"/>
    <w:rsid w:val="00D25429"/>
    <w:rsid w:val="00D325B0"/>
    <w:rsid w:val="00D3365A"/>
    <w:rsid w:val="00D37E2F"/>
    <w:rsid w:val="00D43115"/>
    <w:rsid w:val="00D81D4A"/>
    <w:rsid w:val="00D83CE5"/>
    <w:rsid w:val="00D866B4"/>
    <w:rsid w:val="00D97DD0"/>
    <w:rsid w:val="00DF13C6"/>
    <w:rsid w:val="00DF2391"/>
    <w:rsid w:val="00E62774"/>
    <w:rsid w:val="00E64FC3"/>
    <w:rsid w:val="00E816B3"/>
    <w:rsid w:val="00E93F50"/>
    <w:rsid w:val="00F03232"/>
    <w:rsid w:val="00F11044"/>
    <w:rsid w:val="00F305B7"/>
    <w:rsid w:val="00F375B8"/>
    <w:rsid w:val="00F74A9C"/>
    <w:rsid w:val="00FA14B6"/>
    <w:rsid w:val="00FC6006"/>
    <w:rsid w:val="00FD43CF"/>
    <w:rsid w:val="00FE2D67"/>
    <w:rsid w:val="00FE4559"/>
    <w:rsid w:val="00FF008F"/>
    <w:rsid w:val="019A69EF"/>
    <w:rsid w:val="022A0545"/>
    <w:rsid w:val="026D3976"/>
    <w:rsid w:val="02936C2F"/>
    <w:rsid w:val="03090450"/>
    <w:rsid w:val="0319330F"/>
    <w:rsid w:val="0328248F"/>
    <w:rsid w:val="03EC2134"/>
    <w:rsid w:val="03FF7FA2"/>
    <w:rsid w:val="042D1C03"/>
    <w:rsid w:val="04425FE9"/>
    <w:rsid w:val="045E45E7"/>
    <w:rsid w:val="048516A6"/>
    <w:rsid w:val="04A3353A"/>
    <w:rsid w:val="04CD4817"/>
    <w:rsid w:val="04EF4AE5"/>
    <w:rsid w:val="05890AD3"/>
    <w:rsid w:val="059E6338"/>
    <w:rsid w:val="05C26EB5"/>
    <w:rsid w:val="05C43A33"/>
    <w:rsid w:val="05E26E6E"/>
    <w:rsid w:val="073A17FD"/>
    <w:rsid w:val="07444092"/>
    <w:rsid w:val="078E5878"/>
    <w:rsid w:val="07E70D9F"/>
    <w:rsid w:val="07E726FB"/>
    <w:rsid w:val="088B76E8"/>
    <w:rsid w:val="0A5C2938"/>
    <w:rsid w:val="0B064DB4"/>
    <w:rsid w:val="0B4463AC"/>
    <w:rsid w:val="0B5A0249"/>
    <w:rsid w:val="0BEA4CAB"/>
    <w:rsid w:val="0C1440A5"/>
    <w:rsid w:val="0C9C4EEF"/>
    <w:rsid w:val="0CA15648"/>
    <w:rsid w:val="0CB73F69"/>
    <w:rsid w:val="0CEA3702"/>
    <w:rsid w:val="0D1F7790"/>
    <w:rsid w:val="0D4C1C87"/>
    <w:rsid w:val="0E2D007E"/>
    <w:rsid w:val="0E485D93"/>
    <w:rsid w:val="0E580101"/>
    <w:rsid w:val="0E61548F"/>
    <w:rsid w:val="0E6264F9"/>
    <w:rsid w:val="0E93189D"/>
    <w:rsid w:val="0F02544C"/>
    <w:rsid w:val="0F125771"/>
    <w:rsid w:val="10040A86"/>
    <w:rsid w:val="105D0180"/>
    <w:rsid w:val="108712B3"/>
    <w:rsid w:val="10CD4516"/>
    <w:rsid w:val="10DB2F2B"/>
    <w:rsid w:val="11292354"/>
    <w:rsid w:val="115F4E49"/>
    <w:rsid w:val="11ED2FE0"/>
    <w:rsid w:val="1220184D"/>
    <w:rsid w:val="12AC1BAD"/>
    <w:rsid w:val="12FE70FA"/>
    <w:rsid w:val="13405DEA"/>
    <w:rsid w:val="13BA3E12"/>
    <w:rsid w:val="13BE27FE"/>
    <w:rsid w:val="13D61B10"/>
    <w:rsid w:val="14135679"/>
    <w:rsid w:val="14904AC9"/>
    <w:rsid w:val="14C07A2C"/>
    <w:rsid w:val="151236E1"/>
    <w:rsid w:val="15253B58"/>
    <w:rsid w:val="15C624BD"/>
    <w:rsid w:val="15EF3981"/>
    <w:rsid w:val="161A2691"/>
    <w:rsid w:val="16BA345C"/>
    <w:rsid w:val="16F209BE"/>
    <w:rsid w:val="174F0C8D"/>
    <w:rsid w:val="17937C44"/>
    <w:rsid w:val="179559F6"/>
    <w:rsid w:val="17F03003"/>
    <w:rsid w:val="185F4F44"/>
    <w:rsid w:val="18845BFD"/>
    <w:rsid w:val="1979315B"/>
    <w:rsid w:val="197F7465"/>
    <w:rsid w:val="19A212A0"/>
    <w:rsid w:val="19A50D2F"/>
    <w:rsid w:val="19E43650"/>
    <w:rsid w:val="19EB355B"/>
    <w:rsid w:val="1A6446F6"/>
    <w:rsid w:val="1A791B46"/>
    <w:rsid w:val="1BA413FC"/>
    <w:rsid w:val="1BD812FB"/>
    <w:rsid w:val="1C475CCF"/>
    <w:rsid w:val="1C7952D4"/>
    <w:rsid w:val="1CBF7FC2"/>
    <w:rsid w:val="1D50541B"/>
    <w:rsid w:val="1E1E3B9F"/>
    <w:rsid w:val="1E4F3322"/>
    <w:rsid w:val="1EAE18DF"/>
    <w:rsid w:val="1ECF43D5"/>
    <w:rsid w:val="1ED7259A"/>
    <w:rsid w:val="1F090B3D"/>
    <w:rsid w:val="1F505606"/>
    <w:rsid w:val="1F63606F"/>
    <w:rsid w:val="1F661EE4"/>
    <w:rsid w:val="1FDC6A59"/>
    <w:rsid w:val="20775B4B"/>
    <w:rsid w:val="20B32CEE"/>
    <w:rsid w:val="218F17ED"/>
    <w:rsid w:val="21EA6855"/>
    <w:rsid w:val="225D3ABA"/>
    <w:rsid w:val="227105A3"/>
    <w:rsid w:val="22C205C9"/>
    <w:rsid w:val="22DB033E"/>
    <w:rsid w:val="24162ED8"/>
    <w:rsid w:val="244A5A9B"/>
    <w:rsid w:val="24A165BE"/>
    <w:rsid w:val="24A90671"/>
    <w:rsid w:val="250279BA"/>
    <w:rsid w:val="257A6DA7"/>
    <w:rsid w:val="261E21A8"/>
    <w:rsid w:val="26BC7D94"/>
    <w:rsid w:val="27601E11"/>
    <w:rsid w:val="277D5657"/>
    <w:rsid w:val="278575D6"/>
    <w:rsid w:val="28CC534B"/>
    <w:rsid w:val="290D4AE9"/>
    <w:rsid w:val="29332308"/>
    <w:rsid w:val="2A2D57FE"/>
    <w:rsid w:val="2A725963"/>
    <w:rsid w:val="2AA35029"/>
    <w:rsid w:val="2BF902AA"/>
    <w:rsid w:val="2C370E3F"/>
    <w:rsid w:val="2C5D023F"/>
    <w:rsid w:val="2C78160C"/>
    <w:rsid w:val="2CB0037A"/>
    <w:rsid w:val="2D252ED6"/>
    <w:rsid w:val="2DA41713"/>
    <w:rsid w:val="2E295D0E"/>
    <w:rsid w:val="2E311D90"/>
    <w:rsid w:val="2E5D6C66"/>
    <w:rsid w:val="2EB71510"/>
    <w:rsid w:val="2ED15E7E"/>
    <w:rsid w:val="2FD16BA1"/>
    <w:rsid w:val="307958DD"/>
    <w:rsid w:val="30864EC0"/>
    <w:rsid w:val="308E0427"/>
    <w:rsid w:val="309D5A11"/>
    <w:rsid w:val="30AC22B5"/>
    <w:rsid w:val="30B40675"/>
    <w:rsid w:val="30B8307E"/>
    <w:rsid w:val="3132565D"/>
    <w:rsid w:val="329704C8"/>
    <w:rsid w:val="32BA7246"/>
    <w:rsid w:val="339D5666"/>
    <w:rsid w:val="339F0AB7"/>
    <w:rsid w:val="33A02E0E"/>
    <w:rsid w:val="33CC3BB5"/>
    <w:rsid w:val="33E61D9F"/>
    <w:rsid w:val="34283B7B"/>
    <w:rsid w:val="34534E00"/>
    <w:rsid w:val="34AF58CB"/>
    <w:rsid w:val="34DA0017"/>
    <w:rsid w:val="358A7AA4"/>
    <w:rsid w:val="358E622D"/>
    <w:rsid w:val="358F3C70"/>
    <w:rsid w:val="363B2E87"/>
    <w:rsid w:val="366E2BBC"/>
    <w:rsid w:val="36A2126F"/>
    <w:rsid w:val="37373A42"/>
    <w:rsid w:val="37390EA4"/>
    <w:rsid w:val="37FF24F0"/>
    <w:rsid w:val="382A21E9"/>
    <w:rsid w:val="387E6DB3"/>
    <w:rsid w:val="389B7A6D"/>
    <w:rsid w:val="38C14678"/>
    <w:rsid w:val="38C54AEB"/>
    <w:rsid w:val="3900347B"/>
    <w:rsid w:val="39120D29"/>
    <w:rsid w:val="3B4374A3"/>
    <w:rsid w:val="3B5040E5"/>
    <w:rsid w:val="3B9E2E6E"/>
    <w:rsid w:val="3C5E0E0C"/>
    <w:rsid w:val="3C82684C"/>
    <w:rsid w:val="3C862B91"/>
    <w:rsid w:val="3D2268DE"/>
    <w:rsid w:val="3D3713D6"/>
    <w:rsid w:val="3D8D1CF0"/>
    <w:rsid w:val="3D9E3CD8"/>
    <w:rsid w:val="3DAF71A2"/>
    <w:rsid w:val="3E1D137F"/>
    <w:rsid w:val="3E600A1C"/>
    <w:rsid w:val="3E6A5512"/>
    <w:rsid w:val="3E8B2943"/>
    <w:rsid w:val="3ECA6CA9"/>
    <w:rsid w:val="3FD35AC1"/>
    <w:rsid w:val="40236701"/>
    <w:rsid w:val="405643A4"/>
    <w:rsid w:val="4095556C"/>
    <w:rsid w:val="41720639"/>
    <w:rsid w:val="41D104DF"/>
    <w:rsid w:val="41FF2886"/>
    <w:rsid w:val="421C2814"/>
    <w:rsid w:val="429920ED"/>
    <w:rsid w:val="42DA7143"/>
    <w:rsid w:val="42E9042F"/>
    <w:rsid w:val="43142E95"/>
    <w:rsid w:val="431A7EC1"/>
    <w:rsid w:val="431E2CC3"/>
    <w:rsid w:val="43B807C9"/>
    <w:rsid w:val="43FB08BF"/>
    <w:rsid w:val="448E07E1"/>
    <w:rsid w:val="449F751F"/>
    <w:rsid w:val="44CC03B7"/>
    <w:rsid w:val="44EF5B91"/>
    <w:rsid w:val="44F23477"/>
    <w:rsid w:val="44F67A74"/>
    <w:rsid w:val="45226E59"/>
    <w:rsid w:val="46F02A77"/>
    <w:rsid w:val="46FF3562"/>
    <w:rsid w:val="475A63C7"/>
    <w:rsid w:val="47A96791"/>
    <w:rsid w:val="47C02A7A"/>
    <w:rsid w:val="49083350"/>
    <w:rsid w:val="491D2687"/>
    <w:rsid w:val="49502CA2"/>
    <w:rsid w:val="49522EA9"/>
    <w:rsid w:val="4A503698"/>
    <w:rsid w:val="4AE45834"/>
    <w:rsid w:val="4B337EFE"/>
    <w:rsid w:val="4B34391F"/>
    <w:rsid w:val="4B937CB5"/>
    <w:rsid w:val="4BC555E1"/>
    <w:rsid w:val="4C014F8F"/>
    <w:rsid w:val="4C1A0D1D"/>
    <w:rsid w:val="4D286CF6"/>
    <w:rsid w:val="4D3D6398"/>
    <w:rsid w:val="4D40638C"/>
    <w:rsid w:val="4DEF2C5A"/>
    <w:rsid w:val="4E992F62"/>
    <w:rsid w:val="4EB05192"/>
    <w:rsid w:val="4F240122"/>
    <w:rsid w:val="4F845FD3"/>
    <w:rsid w:val="50874E2E"/>
    <w:rsid w:val="50EB2F57"/>
    <w:rsid w:val="51360A2E"/>
    <w:rsid w:val="514A566E"/>
    <w:rsid w:val="51774F13"/>
    <w:rsid w:val="522C6CCA"/>
    <w:rsid w:val="523B3630"/>
    <w:rsid w:val="5278007F"/>
    <w:rsid w:val="52AA613E"/>
    <w:rsid w:val="52C714D7"/>
    <w:rsid w:val="535A5C35"/>
    <w:rsid w:val="537B591D"/>
    <w:rsid w:val="544A4A47"/>
    <w:rsid w:val="54770964"/>
    <w:rsid w:val="56002AE5"/>
    <w:rsid w:val="56917E3A"/>
    <w:rsid w:val="56D35487"/>
    <w:rsid w:val="56F13A7B"/>
    <w:rsid w:val="57346D88"/>
    <w:rsid w:val="5753353C"/>
    <w:rsid w:val="57707584"/>
    <w:rsid w:val="57D932E1"/>
    <w:rsid w:val="57F64031"/>
    <w:rsid w:val="580F3E46"/>
    <w:rsid w:val="584C7BC1"/>
    <w:rsid w:val="58C95842"/>
    <w:rsid w:val="58F74FD2"/>
    <w:rsid w:val="59296DD4"/>
    <w:rsid w:val="5A330102"/>
    <w:rsid w:val="5A9074E2"/>
    <w:rsid w:val="5AC266B1"/>
    <w:rsid w:val="5AF71D91"/>
    <w:rsid w:val="5BE824E8"/>
    <w:rsid w:val="5C2E7F3D"/>
    <w:rsid w:val="5CBF6D2B"/>
    <w:rsid w:val="5D490D8C"/>
    <w:rsid w:val="5D6F3D42"/>
    <w:rsid w:val="5D70715B"/>
    <w:rsid w:val="5D8068D4"/>
    <w:rsid w:val="5D9E300F"/>
    <w:rsid w:val="5DF329FC"/>
    <w:rsid w:val="5E1A7D1A"/>
    <w:rsid w:val="5E6C41B2"/>
    <w:rsid w:val="5ECE6D88"/>
    <w:rsid w:val="5F3B620D"/>
    <w:rsid w:val="5F4128E6"/>
    <w:rsid w:val="5F6D4BE4"/>
    <w:rsid w:val="5FF41111"/>
    <w:rsid w:val="601172AE"/>
    <w:rsid w:val="6033376C"/>
    <w:rsid w:val="60384BF7"/>
    <w:rsid w:val="606F1696"/>
    <w:rsid w:val="60ED3AC5"/>
    <w:rsid w:val="613E7891"/>
    <w:rsid w:val="61416E3F"/>
    <w:rsid w:val="61D70C94"/>
    <w:rsid w:val="625E362C"/>
    <w:rsid w:val="62D81786"/>
    <w:rsid w:val="63391FC9"/>
    <w:rsid w:val="63B679F3"/>
    <w:rsid w:val="63B87C7A"/>
    <w:rsid w:val="63D77B42"/>
    <w:rsid w:val="64124205"/>
    <w:rsid w:val="64240706"/>
    <w:rsid w:val="646D7C4D"/>
    <w:rsid w:val="646E65C6"/>
    <w:rsid w:val="652C12F7"/>
    <w:rsid w:val="65345E7C"/>
    <w:rsid w:val="6565656D"/>
    <w:rsid w:val="65986CA7"/>
    <w:rsid w:val="66083109"/>
    <w:rsid w:val="6715052E"/>
    <w:rsid w:val="677148A2"/>
    <w:rsid w:val="67721461"/>
    <w:rsid w:val="67AC50EA"/>
    <w:rsid w:val="67F2746A"/>
    <w:rsid w:val="684C7C23"/>
    <w:rsid w:val="684D350F"/>
    <w:rsid w:val="68C62E02"/>
    <w:rsid w:val="68D5246F"/>
    <w:rsid w:val="695A3191"/>
    <w:rsid w:val="69806F4C"/>
    <w:rsid w:val="69BA5F5B"/>
    <w:rsid w:val="69C838F4"/>
    <w:rsid w:val="6A7C4824"/>
    <w:rsid w:val="6A8354D6"/>
    <w:rsid w:val="6B6C720C"/>
    <w:rsid w:val="6B7A7068"/>
    <w:rsid w:val="6B907B95"/>
    <w:rsid w:val="6B986954"/>
    <w:rsid w:val="6B9D71F2"/>
    <w:rsid w:val="6BB56F77"/>
    <w:rsid w:val="6C240D16"/>
    <w:rsid w:val="6C974E37"/>
    <w:rsid w:val="6D0A6B91"/>
    <w:rsid w:val="6DB52A74"/>
    <w:rsid w:val="6DBF690B"/>
    <w:rsid w:val="6E7A6104"/>
    <w:rsid w:val="6EF96891"/>
    <w:rsid w:val="704B6FB9"/>
    <w:rsid w:val="7081365B"/>
    <w:rsid w:val="70C6170A"/>
    <w:rsid w:val="70D9417C"/>
    <w:rsid w:val="70FA6439"/>
    <w:rsid w:val="71A154C1"/>
    <w:rsid w:val="72087297"/>
    <w:rsid w:val="724838E7"/>
    <w:rsid w:val="728207A6"/>
    <w:rsid w:val="730A6B9D"/>
    <w:rsid w:val="73293A9A"/>
    <w:rsid w:val="732B39F0"/>
    <w:rsid w:val="738C4FA5"/>
    <w:rsid w:val="73CB2EAB"/>
    <w:rsid w:val="743261FE"/>
    <w:rsid w:val="7471370E"/>
    <w:rsid w:val="74DA1480"/>
    <w:rsid w:val="753C3703"/>
    <w:rsid w:val="75495B32"/>
    <w:rsid w:val="756B343C"/>
    <w:rsid w:val="7578014B"/>
    <w:rsid w:val="7598038E"/>
    <w:rsid w:val="76844C6E"/>
    <w:rsid w:val="770F444C"/>
    <w:rsid w:val="77147E3D"/>
    <w:rsid w:val="77A15F3E"/>
    <w:rsid w:val="77B7292B"/>
    <w:rsid w:val="78222095"/>
    <w:rsid w:val="785C3AAA"/>
    <w:rsid w:val="790F597D"/>
    <w:rsid w:val="79D2263A"/>
    <w:rsid w:val="79E41CC7"/>
    <w:rsid w:val="7A153D5B"/>
    <w:rsid w:val="7A182D70"/>
    <w:rsid w:val="7A3932AA"/>
    <w:rsid w:val="7A6E4545"/>
    <w:rsid w:val="7AC9166F"/>
    <w:rsid w:val="7AC95121"/>
    <w:rsid w:val="7AF135D8"/>
    <w:rsid w:val="7B1207AE"/>
    <w:rsid w:val="7B900B3C"/>
    <w:rsid w:val="7BA6568E"/>
    <w:rsid w:val="7C784EEE"/>
    <w:rsid w:val="7D157A67"/>
    <w:rsid w:val="7D2407A0"/>
    <w:rsid w:val="7D9C2531"/>
    <w:rsid w:val="7DA80A43"/>
    <w:rsid w:val="7DAB7199"/>
    <w:rsid w:val="7DE56961"/>
    <w:rsid w:val="7DF70C1C"/>
    <w:rsid w:val="7E7D276B"/>
    <w:rsid w:val="7E846798"/>
    <w:rsid w:val="7EAD7761"/>
    <w:rsid w:val="7F0F4A45"/>
    <w:rsid w:val="7F1A0C4B"/>
    <w:rsid w:val="7F5E3305"/>
    <w:rsid w:val="7F9C18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FF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3"/>
    <w:qFormat/>
    <w:uiPriority w:val="0"/>
    <w:pPr>
      <w:keepNext/>
      <w:keepLines/>
      <w:spacing w:line="578" w:lineRule="auto"/>
      <w:outlineLvl w:val="0"/>
    </w:pPr>
    <w:rPr>
      <w:b/>
      <w:bCs/>
      <w:kern w:val="44"/>
      <w:sz w:val="44"/>
      <w:szCs w:val="44"/>
    </w:rPr>
  </w:style>
  <w:style w:type="paragraph" w:styleId="4">
    <w:name w:val="heading 2"/>
    <w:basedOn w:val="1"/>
    <w:next w:val="1"/>
    <w:link w:val="24"/>
    <w:unhideWhenUsed/>
    <w:qFormat/>
    <w:uiPriority w:val="0"/>
    <w:pPr>
      <w:keepNext/>
      <w:keepLines/>
      <w:spacing w:before="260" w:after="260" w:line="416" w:lineRule="auto"/>
      <w:outlineLvl w:val="1"/>
    </w:pPr>
    <w:rPr>
      <w:rFonts w:ascii="Cambria" w:hAnsi="Cambria"/>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b/>
      <w:bCs/>
      <w:sz w:val="28"/>
      <w:szCs w:val="28"/>
    </w:rPr>
  </w:style>
  <w:style w:type="character" w:default="1" w:styleId="19">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before="93" w:beforeLines="30"/>
    </w:pPr>
    <w:rPr>
      <w:rFonts w:ascii="仿宋_GB2312" w:eastAsia="仿宋_GB2312"/>
      <w:sz w:val="30"/>
    </w:rPr>
  </w:style>
  <w:style w:type="paragraph" w:styleId="6">
    <w:name w:val="Body Text Indent"/>
    <w:basedOn w:val="1"/>
    <w:link w:val="25"/>
    <w:qFormat/>
    <w:uiPriority w:val="0"/>
    <w:pPr>
      <w:adjustRightInd w:val="0"/>
      <w:snapToGrid w:val="0"/>
      <w:spacing w:line="400" w:lineRule="exact"/>
      <w:ind w:firstLine="480" w:firstLineChars="200"/>
    </w:pPr>
    <w:rPr>
      <w:rFonts w:ascii="宋体" w:hAnsi="宋体"/>
      <w:sz w:val="24"/>
    </w:rPr>
  </w:style>
  <w:style w:type="paragraph" w:styleId="7">
    <w:name w:val="Date"/>
    <w:basedOn w:val="1"/>
    <w:next w:val="1"/>
    <w:link w:val="26"/>
    <w:qFormat/>
    <w:uiPriority w:val="0"/>
    <w:pPr>
      <w:ind w:left="100" w:leftChars="2500"/>
    </w:pPr>
    <w:rPr>
      <w:rFonts w:ascii="Times New Roman" w:hAnsi="Times New Roman"/>
    </w:rPr>
  </w:style>
  <w:style w:type="paragraph" w:styleId="8">
    <w:name w:val="Balloon Text"/>
    <w:basedOn w:val="1"/>
    <w:link w:val="27"/>
    <w:qFormat/>
    <w:uiPriority w:val="0"/>
    <w:rPr>
      <w:rFonts w:ascii="Times New Roman" w:hAnsi="Times New Roman"/>
      <w:sz w:val="18"/>
      <w:szCs w:val="18"/>
    </w:rPr>
  </w:style>
  <w:style w:type="paragraph" w:styleId="9">
    <w:name w:val="footer"/>
    <w:basedOn w:val="1"/>
    <w:link w:val="28"/>
    <w:qFormat/>
    <w:uiPriority w:val="0"/>
    <w:pPr>
      <w:tabs>
        <w:tab w:val="center" w:pos="4153"/>
        <w:tab w:val="right" w:pos="8306"/>
      </w:tabs>
      <w:snapToGrid w:val="0"/>
      <w:jc w:val="left"/>
    </w:pPr>
    <w:rPr>
      <w:sz w:val="18"/>
    </w:rPr>
  </w:style>
  <w:style w:type="paragraph" w:styleId="10">
    <w:name w:val="header"/>
    <w:basedOn w:val="1"/>
    <w:link w:val="2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able of figures"/>
    <w:basedOn w:val="1"/>
    <w:next w:val="1"/>
    <w:qFormat/>
    <w:uiPriority w:val="0"/>
    <w:pPr>
      <w:ind w:left="400" w:leftChars="200" w:hanging="200" w:hangingChars="200"/>
    </w:pPr>
  </w:style>
  <w:style w:type="paragraph" w:styleId="13">
    <w:name w:val="toc 2"/>
    <w:basedOn w:val="1"/>
    <w:next w:val="1"/>
    <w:unhideWhenUsed/>
    <w:qFormat/>
    <w:uiPriority w:val="39"/>
    <w:pPr>
      <w:tabs>
        <w:tab w:val="right" w:leader="dot" w:pos="8296"/>
      </w:tabs>
      <w:ind w:left="420" w:leftChars="200"/>
    </w:pPr>
  </w:style>
  <w:style w:type="paragraph" w:styleId="1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15">
    <w:name w:val="Normal (Web)"/>
    <w:basedOn w:val="1"/>
    <w:qFormat/>
    <w:uiPriority w:val="99"/>
    <w:pPr>
      <w:spacing w:beforeAutospacing="1" w:afterAutospacing="1"/>
      <w:jc w:val="left"/>
    </w:pPr>
    <w:rPr>
      <w:rFonts w:cs="Times New Roman"/>
      <w:kern w:val="0"/>
      <w:sz w:val="24"/>
    </w:rPr>
  </w:style>
  <w:style w:type="paragraph" w:styleId="16">
    <w:name w:val="Title"/>
    <w:basedOn w:val="1"/>
    <w:next w:val="1"/>
    <w:qFormat/>
    <w:uiPriority w:val="0"/>
    <w:pPr>
      <w:spacing w:before="240" w:after="60"/>
      <w:jc w:val="center"/>
      <w:outlineLvl w:val="0"/>
    </w:pPr>
    <w:rPr>
      <w:rFonts w:ascii="Cambria" w:hAnsi="Cambria"/>
      <w:b/>
      <w:bCs/>
      <w:kern w:val="0"/>
      <w:sz w:val="32"/>
      <w:szCs w:val="32"/>
    </w:rPr>
  </w:style>
  <w:style w:type="table" w:styleId="18">
    <w:name w:val="Table Grid"/>
    <w:basedOn w:val="1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basedOn w:val="19"/>
    <w:qFormat/>
    <w:uiPriority w:val="0"/>
  </w:style>
  <w:style w:type="character" w:styleId="22">
    <w:name w:val="Hyperlink"/>
    <w:basedOn w:val="19"/>
    <w:qFormat/>
    <w:uiPriority w:val="0"/>
    <w:rPr>
      <w:rFonts w:hint="default" w:ascii="ˎ̥" w:hAnsi="ˎ̥"/>
      <w:color w:val="000000"/>
      <w:sz w:val="18"/>
      <w:szCs w:val="18"/>
      <w:u w:val="none"/>
    </w:rPr>
  </w:style>
  <w:style w:type="character" w:customStyle="1" w:styleId="23">
    <w:name w:val="标题 1 字符"/>
    <w:basedOn w:val="19"/>
    <w:link w:val="3"/>
    <w:qFormat/>
    <w:uiPriority w:val="9"/>
    <w:rPr>
      <w:b/>
      <w:bCs/>
      <w:kern w:val="44"/>
      <w:sz w:val="44"/>
      <w:szCs w:val="44"/>
    </w:rPr>
  </w:style>
  <w:style w:type="character" w:customStyle="1" w:styleId="24">
    <w:name w:val="标题 2 字符"/>
    <w:basedOn w:val="19"/>
    <w:link w:val="4"/>
    <w:qFormat/>
    <w:uiPriority w:val="9"/>
    <w:rPr>
      <w:rFonts w:ascii="Cambria" w:hAnsi="Cambria"/>
      <w:b/>
      <w:bCs/>
      <w:sz w:val="32"/>
      <w:szCs w:val="32"/>
    </w:rPr>
  </w:style>
  <w:style w:type="character" w:customStyle="1" w:styleId="25">
    <w:name w:val="正文文本缩进 Char"/>
    <w:basedOn w:val="19"/>
    <w:link w:val="6"/>
    <w:qFormat/>
    <w:uiPriority w:val="0"/>
    <w:rPr>
      <w:rFonts w:ascii="宋体" w:hAnsi="宋体"/>
      <w:kern w:val="2"/>
      <w:sz w:val="24"/>
      <w:szCs w:val="24"/>
    </w:rPr>
  </w:style>
  <w:style w:type="character" w:customStyle="1" w:styleId="26">
    <w:name w:val="日期 Char"/>
    <w:basedOn w:val="19"/>
    <w:link w:val="7"/>
    <w:qFormat/>
    <w:uiPriority w:val="0"/>
    <w:rPr>
      <w:rFonts w:ascii="Times New Roman" w:hAnsi="Times New Roman"/>
      <w:kern w:val="2"/>
      <w:sz w:val="21"/>
      <w:szCs w:val="24"/>
    </w:rPr>
  </w:style>
  <w:style w:type="character" w:customStyle="1" w:styleId="27">
    <w:name w:val="批注框文本 Char"/>
    <w:basedOn w:val="19"/>
    <w:link w:val="8"/>
    <w:qFormat/>
    <w:uiPriority w:val="0"/>
    <w:rPr>
      <w:rFonts w:ascii="Times New Roman" w:hAnsi="Times New Roman"/>
      <w:kern w:val="2"/>
      <w:sz w:val="18"/>
      <w:szCs w:val="18"/>
    </w:rPr>
  </w:style>
  <w:style w:type="character" w:customStyle="1" w:styleId="28">
    <w:name w:val="页脚 Char"/>
    <w:basedOn w:val="19"/>
    <w:link w:val="9"/>
    <w:qFormat/>
    <w:uiPriority w:val="0"/>
    <w:rPr>
      <w:kern w:val="2"/>
      <w:sz w:val="18"/>
      <w:szCs w:val="24"/>
    </w:rPr>
  </w:style>
  <w:style w:type="character" w:customStyle="1" w:styleId="29">
    <w:name w:val="页眉 Char"/>
    <w:basedOn w:val="19"/>
    <w:link w:val="10"/>
    <w:qFormat/>
    <w:uiPriority w:val="0"/>
    <w:rPr>
      <w:kern w:val="2"/>
      <w:sz w:val="18"/>
      <w:szCs w:val="24"/>
    </w:rPr>
  </w:style>
  <w:style w:type="character" w:customStyle="1" w:styleId="30">
    <w:name w:val="font91"/>
    <w:basedOn w:val="19"/>
    <w:qFormat/>
    <w:uiPriority w:val="0"/>
    <w:rPr>
      <w:rFonts w:hint="default" w:ascii="Times New Roman" w:hAnsi="Times New Roman" w:cs="Times New Roman"/>
      <w:color w:val="000000"/>
      <w:sz w:val="44"/>
      <w:szCs w:val="44"/>
      <w:u w:val="none"/>
    </w:rPr>
  </w:style>
  <w:style w:type="character" w:customStyle="1" w:styleId="31">
    <w:name w:val="font61"/>
    <w:basedOn w:val="19"/>
    <w:qFormat/>
    <w:uiPriority w:val="0"/>
    <w:rPr>
      <w:rFonts w:hint="eastAsia" w:ascii="宋体" w:hAnsi="宋体" w:eastAsia="宋体" w:cs="宋体"/>
      <w:color w:val="000000"/>
      <w:sz w:val="44"/>
      <w:szCs w:val="44"/>
      <w:u w:val="none"/>
    </w:rPr>
  </w:style>
  <w:style w:type="character" w:customStyle="1" w:styleId="32">
    <w:name w:val="font11"/>
    <w:basedOn w:val="19"/>
    <w:qFormat/>
    <w:uiPriority w:val="0"/>
    <w:rPr>
      <w:rFonts w:hint="eastAsia" w:ascii="宋体" w:hAnsi="宋体" w:eastAsia="宋体" w:cs="宋体"/>
      <w:b/>
      <w:color w:val="FF0000"/>
      <w:sz w:val="24"/>
      <w:szCs w:val="24"/>
      <w:u w:val="none"/>
    </w:rPr>
  </w:style>
  <w:style w:type="character" w:customStyle="1" w:styleId="33">
    <w:name w:val="font71"/>
    <w:basedOn w:val="19"/>
    <w:qFormat/>
    <w:uiPriority w:val="0"/>
    <w:rPr>
      <w:rFonts w:hint="eastAsia" w:ascii="宋体" w:hAnsi="宋体" w:eastAsia="宋体" w:cs="宋体"/>
      <w:color w:val="000000"/>
      <w:sz w:val="22"/>
      <w:szCs w:val="22"/>
      <w:u w:val="none"/>
    </w:rPr>
  </w:style>
  <w:style w:type="character" w:customStyle="1" w:styleId="34">
    <w:name w:val="font31"/>
    <w:basedOn w:val="19"/>
    <w:qFormat/>
    <w:uiPriority w:val="0"/>
    <w:rPr>
      <w:rFonts w:hint="eastAsia" w:ascii="宋体" w:hAnsi="宋体" w:eastAsia="宋体" w:cs="宋体"/>
      <w:color w:val="000000"/>
      <w:sz w:val="24"/>
      <w:szCs w:val="24"/>
      <w:u w:val="none"/>
    </w:rPr>
  </w:style>
  <w:style w:type="paragraph" w:customStyle="1" w:styleId="35">
    <w:name w:val="样式2"/>
    <w:basedOn w:val="1"/>
    <w:qFormat/>
    <w:uiPriority w:val="0"/>
    <w:pPr>
      <w:widowControl w:val="0"/>
      <w:adjustRightInd/>
      <w:snapToGrid/>
      <w:spacing w:beforeLines="100" w:afterLines="100"/>
      <w:jc w:val="center"/>
    </w:pPr>
    <w:rPr>
      <w:rFonts w:ascii="黑体" w:hAnsi="Times New Roman" w:eastAsia="黑体" w:cs="Times New Roman"/>
      <w:kern w:val="2"/>
      <w:sz w:val="24"/>
      <w:szCs w:val="24"/>
    </w:rPr>
  </w:style>
  <w:style w:type="paragraph" w:customStyle="1" w:styleId="3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7">
    <w:name w:val="一级标题"/>
    <w:basedOn w:val="1"/>
    <w:qFormat/>
    <w:uiPriority w:val="0"/>
    <w:pPr>
      <w:spacing w:line="520" w:lineRule="exact"/>
      <w:jc w:val="center"/>
    </w:pPr>
    <w:rPr>
      <w:rFonts w:ascii="Calibri" w:hAnsi="Calibri" w:eastAsia="方正小标宋简体"/>
      <w:color w:val="000000"/>
      <w:sz w:val="32"/>
      <w:szCs w:val="44"/>
    </w:rPr>
  </w:style>
  <w:style w:type="paragraph" w:customStyle="1" w:styleId="38">
    <w:name w:val="表格正文文本"/>
    <w:basedOn w:val="1"/>
    <w:qFormat/>
    <w:uiPriority w:val="99"/>
    <w:pPr>
      <w:widowControl/>
      <w:jc w:val="center"/>
    </w:pPr>
    <w:rPr>
      <w:rFonts w:ascii="Tahoma" w:hAnsi="Tahoma"/>
      <w:kern w:val="0"/>
      <w:sz w:val="18"/>
      <w:szCs w:val="20"/>
    </w:rPr>
  </w:style>
  <w:style w:type="paragraph" w:customStyle="1" w:styleId="39">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0">
    <w:name w:val="二级条标题"/>
    <w:basedOn w:val="1"/>
    <w:next w:val="41"/>
    <w:qFormat/>
    <w:uiPriority w:val="0"/>
    <w:pPr>
      <w:numPr>
        <w:ilvl w:val="3"/>
        <w:numId w:val="1"/>
      </w:numPr>
      <w:outlineLvl w:val="3"/>
    </w:pPr>
  </w:style>
  <w:style w:type="paragraph" w:customStyle="1" w:styleId="41">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42">
    <w:name w:val="列标题"/>
    <w:basedOn w:val="4"/>
    <w:qFormat/>
    <w:uiPriority w:val="99"/>
    <w:pPr>
      <w:keepLines w:val="0"/>
      <w:widowControl/>
      <w:spacing w:before="0" w:after="0" w:line="240" w:lineRule="auto"/>
      <w:jc w:val="center"/>
    </w:pPr>
    <w:rPr>
      <w:rFonts w:ascii="Tahoma" w:hAnsi="Tahoma" w:eastAsia="黑体" w:cs="Times New Roman"/>
      <w:b w:val="0"/>
      <w:color w:val="333399"/>
      <w:kern w:val="0"/>
      <w:sz w:val="18"/>
      <w:szCs w:val="18"/>
    </w:rPr>
  </w:style>
  <w:style w:type="paragraph" w:customStyle="1" w:styleId="43">
    <w:name w:val="List Paragraph"/>
    <w:basedOn w:val="1"/>
    <w:qFormat/>
    <w:uiPriority w:val="0"/>
    <w:pPr>
      <w:ind w:firstLine="420" w:firstLineChars="200"/>
    </w:pPr>
    <w:rPr>
      <w:rFonts w:ascii="Calibri" w:hAnsi="Calibri" w:eastAsia="仿宋"/>
      <w:sz w:val="32"/>
      <w:szCs w:val="22"/>
    </w:rPr>
  </w:style>
  <w:style w:type="paragraph" w:customStyle="1" w:styleId="44">
    <w:name w:val="调查项目"/>
    <w:basedOn w:val="1"/>
    <w:qFormat/>
    <w:uiPriority w:val="99"/>
    <w:pPr>
      <w:widowControl/>
      <w:jc w:val="left"/>
      <w:outlineLvl w:val="1"/>
    </w:pPr>
    <w:rPr>
      <w:rFonts w:ascii="Tahoma" w:hAnsi="Tahoma" w:eastAsia="黑体"/>
      <w:bCs/>
      <w:color w:val="333399"/>
      <w:kern w:val="0"/>
      <w:sz w:val="18"/>
      <w:szCs w:val="18"/>
    </w:rPr>
  </w:style>
  <w:style w:type="paragraph" w:customStyle="1" w:styleId="45">
    <w:name w:val="表内"/>
    <w:basedOn w:val="1"/>
    <w:qFormat/>
    <w:uiPriority w:val="0"/>
    <w:pPr>
      <w:topLinePunct/>
      <w:adjustRightInd w:val="0"/>
      <w:snapToGrid w:val="0"/>
      <w:spacing w:line="360" w:lineRule="auto"/>
      <w:jc w:val="center"/>
    </w:pPr>
    <w:rPr>
      <w:rFonts w:cs="宋体"/>
      <w:szCs w:val="21"/>
    </w:rPr>
  </w:style>
  <w:style w:type="paragraph" w:styleId="46">
    <w:name w:val="No Spacing"/>
    <w:qFormat/>
    <w:uiPriority w:val="1"/>
    <w:rPr>
      <w:rFonts w:ascii="Calibri" w:hAnsi="Calibri" w:eastAsia="宋体" w:cs="Times New Roman"/>
      <w:sz w:val="22"/>
      <w:szCs w:val="22"/>
      <w:lang w:val="en-US" w:eastAsia="en-US" w:bidi="en-US"/>
    </w:rPr>
  </w:style>
  <w:style w:type="table" w:customStyle="1" w:styleId="47">
    <w:name w:val="Table Normal"/>
    <w:unhideWhenUsed/>
    <w:qFormat/>
    <w:uiPriority w:val="0"/>
    <w:tblPr>
      <w:tblCellMar>
        <w:top w:w="0" w:type="dxa"/>
        <w:left w:w="0" w:type="dxa"/>
        <w:bottom w:w="0" w:type="dxa"/>
        <w:right w:w="0" w:type="dxa"/>
      </w:tblCellMar>
    </w:tblPr>
  </w:style>
  <w:style w:type="paragraph" w:customStyle="1" w:styleId="48">
    <w:name w:val="Body Text1"/>
    <w:basedOn w:val="1"/>
    <w:qFormat/>
    <w:uiPriority w:val="0"/>
    <w:pPr>
      <w:ind w:left="134"/>
    </w:pPr>
    <w:rPr>
      <w:rFonts w:ascii="宋体" w:hAnsi="宋体" w:cs="Calibri"/>
      <w:sz w:val="28"/>
      <w:szCs w:val="28"/>
    </w:rPr>
  </w:style>
  <w:style w:type="paragraph" w:customStyle="1" w:styleId="49">
    <w:name w:val="列出段落1"/>
    <w:basedOn w:val="1"/>
    <w:qFormat/>
    <w:uiPriority w:val="0"/>
    <w:pPr>
      <w:ind w:firstLine="420" w:firstLineChars="200"/>
    </w:pPr>
    <w:rPr>
      <w:rFonts w:ascii="Calibri" w:hAnsi="Calibri" w:eastAsia="宋体" w:cs="Calibri"/>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33.png"/><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footer" Target="footer3.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er" Target="footer2.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jpeg"/><Relationship Id="rId4" Type="http://schemas.openxmlformats.org/officeDocument/2006/relationships/footer" Target="footer1.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png"/><Relationship Id="rId36" Type="http://schemas.openxmlformats.org/officeDocument/2006/relationships/image" Target="media/image7.emf"/><Relationship Id="rId35" Type="http://schemas.openxmlformats.org/officeDocument/2006/relationships/oleObject" Target="embeddings/oleObject7.bin"/><Relationship Id="rId34" Type="http://schemas.openxmlformats.org/officeDocument/2006/relationships/image" Target="media/image6.emf"/><Relationship Id="rId33" Type="http://schemas.openxmlformats.org/officeDocument/2006/relationships/oleObject" Target="embeddings/oleObject6.bin"/><Relationship Id="rId32" Type="http://schemas.openxmlformats.org/officeDocument/2006/relationships/image" Target="media/image5.emf"/><Relationship Id="rId31" Type="http://schemas.openxmlformats.org/officeDocument/2006/relationships/oleObject" Target="embeddings/oleObject5.bin"/><Relationship Id="rId30" Type="http://schemas.openxmlformats.org/officeDocument/2006/relationships/image" Target="media/image4.e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3.emf"/><Relationship Id="rId27" Type="http://schemas.openxmlformats.org/officeDocument/2006/relationships/oleObject" Target="embeddings/oleObject3.bin"/><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30"/>
    <customShpInfo spid="_x0000_s1029"/>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55</Pages>
  <Words>11183</Words>
  <Characters>12167</Characters>
  <Lines>4</Lines>
  <Paragraphs>1</Paragraphs>
  <TotalTime>7</TotalTime>
  <ScaleCrop>false</ScaleCrop>
  <LinksUpToDate>false</LinksUpToDate>
  <CharactersWithSpaces>12283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2017-05-19T09:48:00Z</dcterms:created>
  <dc:creator>管理员</dc:creator>
  <cp:lastModifiedBy>d</cp:lastModifiedBy>
  <cp:lastPrinted>2025-09-10T07:01:00Z</cp:lastPrinted>
  <dcterms:modified xsi:type="dcterms:W3CDTF">2025-09-11T08:42:12Z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42BED1404B2A42EB9897FF73D3391CC4_13</vt:lpwstr>
  </property>
  <property fmtid="{D5CDD505-2E9C-101B-9397-08002B2CF9AE}" pid="4" name="KSOTemplateDocerSaveRecord">
    <vt:lpwstr>eyJoZGlkIjoiZDNkODk2Y2ExYjYwNWE2NDUwYTI0OTVlNDA3ZDZiODAiLCJ1c2VySWQiOiI4NDE1ODEwNTAifQ==</vt:lpwstr>
  </property>
</Properties>
</file>